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05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550"/>
      </w:tblGrid>
      <w:tr w:rsidR="00FB0286" w:rsidRPr="007C6925" w:rsidTr="00CF512A">
        <w:trPr>
          <w:trHeight w:val="983"/>
        </w:trPr>
        <w:tc>
          <w:tcPr>
            <w:tcW w:w="2943" w:type="dxa"/>
            <w:vMerge w:val="restart"/>
          </w:tcPr>
          <w:p w:rsidR="00FB0286" w:rsidRPr="007C6925" w:rsidRDefault="00FB0286" w:rsidP="003C3774">
            <w:pPr>
              <w:spacing w:before="120" w:after="120"/>
              <w:jc w:val="both"/>
              <w:rPr>
                <w:rFonts w:cs="Arial"/>
              </w:rPr>
            </w:pPr>
            <w:bookmarkStart w:id="0" w:name="_GoBack"/>
            <w:bookmarkEnd w:id="0"/>
            <w:r w:rsidRPr="007C6925">
              <w:rPr>
                <w:rFonts w:cs="Arial"/>
                <w:noProof/>
                <w:lang w:eastAsia="en-NZ"/>
              </w:rPr>
              <w:drawing>
                <wp:inline distT="0" distB="0" distL="0" distR="0" wp14:anchorId="42500B27" wp14:editId="13C8BA00">
                  <wp:extent cx="1615617" cy="104989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664" cy="1070717"/>
                          </a:xfrm>
                          <a:prstGeom prst="rect">
                            <a:avLst/>
                          </a:prstGeom>
                          <a:noFill/>
                          <a:ln>
                            <a:noFill/>
                          </a:ln>
                        </pic:spPr>
                      </pic:pic>
                    </a:graphicData>
                  </a:graphic>
                </wp:inline>
              </w:drawing>
            </w:r>
          </w:p>
        </w:tc>
        <w:tc>
          <w:tcPr>
            <w:tcW w:w="6550" w:type="dxa"/>
            <w:shd w:val="clear" w:color="auto" w:fill="auto"/>
            <w:vAlign w:val="center"/>
          </w:tcPr>
          <w:p w:rsidR="004D6822" w:rsidRPr="007C6925" w:rsidRDefault="004D6822" w:rsidP="003C3774">
            <w:pPr>
              <w:pStyle w:val="ReportTitle"/>
              <w:ind w:right="1026" w:firstLine="106"/>
              <w:jc w:val="both"/>
              <w:rPr>
                <w:rFonts w:cs="Arial"/>
                <w:b/>
                <w:sz w:val="24"/>
                <w:szCs w:val="24"/>
                <w:lang w:val="en-NZ"/>
              </w:rPr>
            </w:pPr>
          </w:p>
          <w:p w:rsidR="00FB0286" w:rsidRPr="007C6925" w:rsidRDefault="00E33672" w:rsidP="003C3774">
            <w:pPr>
              <w:pStyle w:val="ReportTitle"/>
              <w:ind w:right="1026" w:firstLine="106"/>
              <w:jc w:val="both"/>
              <w:rPr>
                <w:rFonts w:cs="Arial"/>
                <w:b/>
                <w:sz w:val="26"/>
                <w:szCs w:val="24"/>
                <w:lang w:val="en-NZ"/>
              </w:rPr>
            </w:pPr>
            <w:r w:rsidRPr="007C6925">
              <w:rPr>
                <w:rFonts w:cs="Arial"/>
                <w:b/>
                <w:sz w:val="26"/>
                <w:szCs w:val="24"/>
                <w:lang w:val="en-NZ"/>
              </w:rPr>
              <w:t>Chair’s Report</w:t>
            </w:r>
          </w:p>
          <w:p w:rsidR="004D6822" w:rsidRPr="007C6925" w:rsidRDefault="004D6822" w:rsidP="003C3774">
            <w:pPr>
              <w:pStyle w:val="ReportTitle"/>
              <w:ind w:right="1026" w:firstLine="106"/>
              <w:jc w:val="both"/>
              <w:rPr>
                <w:rFonts w:cs="Arial"/>
                <w:b/>
                <w:sz w:val="22"/>
                <w:szCs w:val="28"/>
                <w:lang w:val="en-NZ"/>
              </w:rPr>
            </w:pPr>
          </w:p>
        </w:tc>
      </w:tr>
      <w:tr w:rsidR="00FB0286" w:rsidRPr="007C6925" w:rsidTr="00FB0286">
        <w:trPr>
          <w:trHeight w:val="820"/>
        </w:trPr>
        <w:tc>
          <w:tcPr>
            <w:tcW w:w="2943" w:type="dxa"/>
            <w:vMerge/>
          </w:tcPr>
          <w:p w:rsidR="00FB0286" w:rsidRPr="007C6925" w:rsidRDefault="00FB0286" w:rsidP="003C3774">
            <w:pPr>
              <w:spacing w:before="120" w:after="120"/>
              <w:jc w:val="both"/>
              <w:rPr>
                <w:rFonts w:cs="Arial"/>
              </w:rPr>
            </w:pPr>
          </w:p>
        </w:tc>
        <w:tc>
          <w:tcPr>
            <w:tcW w:w="6550" w:type="dxa"/>
            <w:shd w:val="clear" w:color="auto" w:fill="auto"/>
            <w:vAlign w:val="center"/>
          </w:tcPr>
          <w:p w:rsidR="003C3774" w:rsidRPr="007C6925" w:rsidRDefault="00FB0286" w:rsidP="003C3774">
            <w:pPr>
              <w:spacing w:before="120" w:after="120" w:line="276" w:lineRule="auto"/>
              <w:ind w:left="94"/>
              <w:jc w:val="both"/>
              <w:rPr>
                <w:rFonts w:cs="Arial"/>
              </w:rPr>
            </w:pPr>
            <w:r w:rsidRPr="007C6925">
              <w:rPr>
                <w:rFonts w:cs="Arial"/>
              </w:rPr>
              <w:t>For the attention of:</w:t>
            </w:r>
          </w:p>
          <w:p w:rsidR="00FB0286" w:rsidRPr="007C6925" w:rsidRDefault="00611B1A" w:rsidP="003C3774">
            <w:pPr>
              <w:spacing w:before="120" w:after="120" w:line="276" w:lineRule="auto"/>
              <w:ind w:left="94"/>
              <w:jc w:val="both"/>
              <w:rPr>
                <w:rFonts w:cs="Arial"/>
                <w:b/>
                <w:sz w:val="24"/>
                <w:szCs w:val="24"/>
              </w:rPr>
            </w:pPr>
            <w:r w:rsidRPr="007C6925">
              <w:rPr>
                <w:rFonts w:cs="Arial"/>
                <w:b/>
                <w:sz w:val="24"/>
                <w:szCs w:val="24"/>
              </w:rPr>
              <w:t>Māori</w:t>
            </w:r>
            <w:r w:rsidR="0095166B" w:rsidRPr="007C6925">
              <w:rPr>
                <w:rFonts w:cs="Arial"/>
                <w:b/>
                <w:szCs w:val="24"/>
              </w:rPr>
              <w:t xml:space="preserve"> </w:t>
            </w:r>
            <w:r w:rsidR="0095166B" w:rsidRPr="007C6925">
              <w:rPr>
                <w:rFonts w:cs="Arial"/>
                <w:b/>
                <w:sz w:val="24"/>
                <w:szCs w:val="24"/>
              </w:rPr>
              <w:t>Relationship Board</w:t>
            </w:r>
          </w:p>
        </w:tc>
      </w:tr>
      <w:tr w:rsidR="00FB0286" w:rsidRPr="007C6925" w:rsidTr="00FB0286">
        <w:trPr>
          <w:trHeight w:val="523"/>
        </w:trPr>
        <w:tc>
          <w:tcPr>
            <w:tcW w:w="2943" w:type="dxa"/>
            <w:vAlign w:val="center"/>
          </w:tcPr>
          <w:p w:rsidR="00FB0286" w:rsidRPr="007C6925" w:rsidRDefault="00FB0286" w:rsidP="003C3774">
            <w:pPr>
              <w:tabs>
                <w:tab w:val="left" w:pos="2835"/>
              </w:tabs>
              <w:spacing w:before="120" w:after="120" w:line="276" w:lineRule="auto"/>
              <w:jc w:val="both"/>
              <w:rPr>
                <w:rFonts w:cs="Arial"/>
              </w:rPr>
            </w:pPr>
            <w:r w:rsidRPr="007C6925">
              <w:rPr>
                <w:rFonts w:cs="Arial"/>
              </w:rPr>
              <w:t>Document Owner:</w:t>
            </w:r>
          </w:p>
        </w:tc>
        <w:tc>
          <w:tcPr>
            <w:tcW w:w="6550" w:type="dxa"/>
            <w:vAlign w:val="center"/>
          </w:tcPr>
          <w:p w:rsidR="00FB0286" w:rsidRPr="007C6925" w:rsidRDefault="00E33672" w:rsidP="003C3774">
            <w:pPr>
              <w:tabs>
                <w:tab w:val="left" w:pos="2835"/>
              </w:tabs>
              <w:spacing w:before="120" w:after="120" w:line="276" w:lineRule="auto"/>
              <w:ind w:left="93" w:firstLine="13"/>
              <w:jc w:val="both"/>
              <w:rPr>
                <w:rFonts w:cs="Arial"/>
              </w:rPr>
            </w:pPr>
            <w:r w:rsidRPr="007C6925">
              <w:rPr>
                <w:rFonts w:cs="Arial"/>
              </w:rPr>
              <w:t>Ngahiwi Tomoana</w:t>
            </w:r>
            <w:r w:rsidR="0095166B" w:rsidRPr="007C6925">
              <w:rPr>
                <w:rFonts w:cs="Arial"/>
              </w:rPr>
              <w:t xml:space="preserve">, </w:t>
            </w:r>
            <w:r w:rsidRPr="007C6925">
              <w:rPr>
                <w:rFonts w:cs="Arial"/>
              </w:rPr>
              <w:t>Chairman</w:t>
            </w:r>
          </w:p>
        </w:tc>
      </w:tr>
      <w:tr w:rsidR="0095166B" w:rsidRPr="007C6925" w:rsidTr="00FB0286">
        <w:trPr>
          <w:trHeight w:val="523"/>
        </w:trPr>
        <w:tc>
          <w:tcPr>
            <w:tcW w:w="2943" w:type="dxa"/>
            <w:vAlign w:val="center"/>
          </w:tcPr>
          <w:p w:rsidR="0095166B" w:rsidRPr="007C6925" w:rsidRDefault="0095166B" w:rsidP="003C3774">
            <w:pPr>
              <w:tabs>
                <w:tab w:val="left" w:pos="2835"/>
              </w:tabs>
              <w:spacing w:before="120" w:after="120" w:line="276" w:lineRule="auto"/>
              <w:jc w:val="both"/>
              <w:rPr>
                <w:rFonts w:cs="Arial"/>
              </w:rPr>
            </w:pPr>
            <w:r w:rsidRPr="007C6925">
              <w:rPr>
                <w:rFonts w:cs="Arial"/>
              </w:rPr>
              <w:t>Month:</w:t>
            </w:r>
          </w:p>
        </w:tc>
        <w:tc>
          <w:tcPr>
            <w:tcW w:w="6550" w:type="dxa"/>
            <w:vAlign w:val="center"/>
          </w:tcPr>
          <w:p w:rsidR="0095166B" w:rsidRPr="007C6925" w:rsidRDefault="004E62BE" w:rsidP="00B3051C">
            <w:pPr>
              <w:tabs>
                <w:tab w:val="left" w:pos="2835"/>
              </w:tabs>
              <w:spacing w:before="120" w:after="120" w:line="276" w:lineRule="auto"/>
              <w:ind w:left="93" w:firstLine="13"/>
              <w:jc w:val="both"/>
              <w:rPr>
                <w:rFonts w:cs="Arial"/>
              </w:rPr>
            </w:pPr>
            <w:r>
              <w:rPr>
                <w:rFonts w:cs="Arial"/>
              </w:rPr>
              <w:t>February 2016</w:t>
            </w:r>
          </w:p>
        </w:tc>
      </w:tr>
      <w:tr w:rsidR="0095166B" w:rsidRPr="007C6925" w:rsidTr="00FB0286">
        <w:trPr>
          <w:trHeight w:val="523"/>
        </w:trPr>
        <w:tc>
          <w:tcPr>
            <w:tcW w:w="2943" w:type="dxa"/>
            <w:vAlign w:val="center"/>
          </w:tcPr>
          <w:p w:rsidR="0095166B" w:rsidRPr="007C6925" w:rsidRDefault="0095166B" w:rsidP="003C3774">
            <w:pPr>
              <w:tabs>
                <w:tab w:val="left" w:pos="2835"/>
              </w:tabs>
              <w:spacing w:before="120" w:after="120" w:line="276" w:lineRule="auto"/>
              <w:jc w:val="both"/>
              <w:rPr>
                <w:rFonts w:cs="Arial"/>
              </w:rPr>
            </w:pPr>
            <w:r w:rsidRPr="007C6925">
              <w:rPr>
                <w:rFonts w:cs="Arial"/>
              </w:rPr>
              <w:t>Consideration:</w:t>
            </w:r>
          </w:p>
        </w:tc>
        <w:tc>
          <w:tcPr>
            <w:tcW w:w="6550" w:type="dxa"/>
            <w:vAlign w:val="center"/>
          </w:tcPr>
          <w:p w:rsidR="0095166B" w:rsidRPr="007C6925" w:rsidRDefault="00B3051C" w:rsidP="003C3774">
            <w:pPr>
              <w:tabs>
                <w:tab w:val="left" w:pos="2835"/>
              </w:tabs>
              <w:spacing w:before="120" w:after="120" w:line="276" w:lineRule="auto"/>
              <w:ind w:left="93" w:firstLine="13"/>
              <w:jc w:val="both"/>
              <w:rPr>
                <w:rFonts w:cs="Arial"/>
              </w:rPr>
            </w:pPr>
            <w:r w:rsidRPr="007C6925">
              <w:rPr>
                <w:rFonts w:cs="Arial"/>
              </w:rPr>
              <w:t>For Information</w:t>
            </w:r>
          </w:p>
        </w:tc>
      </w:tr>
    </w:tbl>
    <w:p w:rsidR="007D1F26" w:rsidRPr="007C6925" w:rsidRDefault="007D1F26" w:rsidP="003C3774">
      <w:pPr>
        <w:jc w:val="both"/>
        <w:rPr>
          <w:rFonts w:cs="Arial"/>
          <w:sz w:val="6"/>
        </w:rPr>
      </w:pPr>
    </w:p>
    <w:p w:rsidR="00680A35" w:rsidRPr="007C6925" w:rsidRDefault="00680A35" w:rsidP="003C3774">
      <w:pPr>
        <w:jc w:val="both"/>
        <w:rPr>
          <w:rFonts w:cs="Arial"/>
          <w:szCs w:val="22"/>
        </w:rPr>
      </w:pPr>
    </w:p>
    <w:tbl>
      <w:tblPr>
        <w:tblStyle w:val="TableGrid"/>
        <w:tblW w:w="0" w:type="auto"/>
        <w:tblLook w:val="04A0" w:firstRow="1" w:lastRow="0" w:firstColumn="1" w:lastColumn="0" w:noHBand="0" w:noVBand="1"/>
      </w:tblPr>
      <w:tblGrid>
        <w:gridCol w:w="9493"/>
      </w:tblGrid>
      <w:tr w:rsidR="00BA4B9C" w:rsidRPr="007C6925" w:rsidTr="00BA4B9C">
        <w:tc>
          <w:tcPr>
            <w:tcW w:w="9493" w:type="dxa"/>
          </w:tcPr>
          <w:p w:rsidR="00BA4B9C" w:rsidRPr="007C6925" w:rsidRDefault="00BA4B9C" w:rsidP="003C3774">
            <w:pPr>
              <w:tabs>
                <w:tab w:val="left" w:pos="2835"/>
              </w:tabs>
              <w:spacing w:before="120" w:after="120" w:line="276" w:lineRule="auto"/>
              <w:jc w:val="both"/>
              <w:rPr>
                <w:rFonts w:cs="Arial"/>
                <w:b/>
              </w:rPr>
            </w:pPr>
            <w:r w:rsidRPr="007C6925">
              <w:rPr>
                <w:rFonts w:cs="Arial"/>
                <w:b/>
              </w:rPr>
              <w:t>Recommendation</w:t>
            </w:r>
          </w:p>
          <w:p w:rsidR="00BA4B9C" w:rsidRPr="007C6925" w:rsidRDefault="00BA4B9C" w:rsidP="003C3774">
            <w:pPr>
              <w:tabs>
                <w:tab w:val="left" w:pos="454"/>
              </w:tabs>
              <w:spacing w:after="120"/>
              <w:jc w:val="both"/>
              <w:rPr>
                <w:rFonts w:cs="Arial"/>
                <w:b/>
                <w:szCs w:val="22"/>
                <w:lang w:eastAsia="en-NZ"/>
              </w:rPr>
            </w:pPr>
            <w:r w:rsidRPr="007C6925">
              <w:rPr>
                <w:rFonts w:cs="Arial"/>
                <w:b/>
                <w:szCs w:val="24"/>
              </w:rPr>
              <w:t>That</w:t>
            </w:r>
            <w:r w:rsidR="00C901A5" w:rsidRPr="007C6925">
              <w:rPr>
                <w:rFonts w:cs="Arial"/>
                <w:b/>
                <w:szCs w:val="24"/>
              </w:rPr>
              <w:t xml:space="preserve"> MRB</w:t>
            </w:r>
          </w:p>
          <w:p w:rsidR="00BA4B9C" w:rsidRPr="007C6925" w:rsidRDefault="00BA4B9C" w:rsidP="003C3774">
            <w:pPr>
              <w:tabs>
                <w:tab w:val="left" w:pos="454"/>
              </w:tabs>
              <w:spacing w:after="120"/>
              <w:jc w:val="both"/>
              <w:rPr>
                <w:rFonts w:cs="Arial"/>
                <w:sz w:val="24"/>
                <w:szCs w:val="24"/>
                <w:lang w:eastAsia="en-NZ"/>
              </w:rPr>
            </w:pPr>
            <w:r w:rsidRPr="007C6925">
              <w:rPr>
                <w:rFonts w:cs="Arial"/>
                <w:szCs w:val="22"/>
                <w:lang w:eastAsia="en-NZ"/>
              </w:rPr>
              <w:t xml:space="preserve">Note </w:t>
            </w:r>
            <w:r w:rsidR="0089765D" w:rsidRPr="007C6925">
              <w:rPr>
                <w:rFonts w:cs="Arial"/>
                <w:szCs w:val="22"/>
                <w:lang w:eastAsia="en-NZ"/>
              </w:rPr>
              <w:t>the con</w:t>
            </w:r>
            <w:r w:rsidR="00D403F9" w:rsidRPr="007C6925">
              <w:rPr>
                <w:rFonts w:cs="Arial"/>
                <w:szCs w:val="22"/>
                <w:lang w:eastAsia="en-NZ"/>
              </w:rPr>
              <w:t>t</w:t>
            </w:r>
            <w:r w:rsidR="0095166B" w:rsidRPr="007C6925">
              <w:rPr>
                <w:rFonts w:cs="Arial"/>
                <w:szCs w:val="22"/>
                <w:lang w:eastAsia="en-NZ"/>
              </w:rPr>
              <w:t>ent of this report.</w:t>
            </w:r>
          </w:p>
        </w:tc>
      </w:tr>
    </w:tbl>
    <w:p w:rsidR="00BA4B9C" w:rsidRPr="007C6925" w:rsidRDefault="00BA4B9C" w:rsidP="003C3774">
      <w:pPr>
        <w:jc w:val="both"/>
        <w:rPr>
          <w:rFonts w:cs="Arial"/>
        </w:rPr>
      </w:pPr>
    </w:p>
    <w:p w:rsidR="00FB0286" w:rsidRPr="007C6925" w:rsidRDefault="003A1850" w:rsidP="00E46EA9">
      <w:pPr>
        <w:jc w:val="both"/>
        <w:rPr>
          <w:rFonts w:cs="Arial"/>
          <w:b/>
          <w:szCs w:val="22"/>
        </w:rPr>
      </w:pPr>
      <w:r w:rsidRPr="007C6925">
        <w:rPr>
          <w:rFonts w:cs="Arial"/>
          <w:b/>
          <w:szCs w:val="22"/>
        </w:rPr>
        <w:t>PURPOSE</w:t>
      </w:r>
    </w:p>
    <w:p w:rsidR="003A1850" w:rsidRPr="007C6925" w:rsidRDefault="003A1850" w:rsidP="00E46EA9">
      <w:pPr>
        <w:jc w:val="both"/>
        <w:rPr>
          <w:rFonts w:cs="Arial"/>
          <w:szCs w:val="22"/>
        </w:rPr>
      </w:pPr>
      <w:r w:rsidRPr="007C6925">
        <w:rPr>
          <w:rFonts w:cs="Arial"/>
          <w:szCs w:val="22"/>
        </w:rPr>
        <w:t xml:space="preserve">The purpose of this report is to update the </w:t>
      </w:r>
      <w:r w:rsidR="00611B1A" w:rsidRPr="007C6925">
        <w:rPr>
          <w:rFonts w:cs="Arial"/>
          <w:szCs w:val="22"/>
        </w:rPr>
        <w:t>Māori</w:t>
      </w:r>
      <w:r w:rsidRPr="007C6925">
        <w:rPr>
          <w:rFonts w:cs="Arial"/>
          <w:szCs w:val="22"/>
        </w:rPr>
        <w:t xml:space="preserve"> Relationship Board (MRB) on relevant discussions at the Board meeting</w:t>
      </w:r>
      <w:r w:rsidR="006564DF">
        <w:rPr>
          <w:rFonts w:cs="Arial"/>
          <w:szCs w:val="22"/>
        </w:rPr>
        <w:t>s</w:t>
      </w:r>
      <w:r w:rsidRPr="007C6925">
        <w:rPr>
          <w:rFonts w:cs="Arial"/>
          <w:szCs w:val="22"/>
        </w:rPr>
        <w:t xml:space="preserve"> </w:t>
      </w:r>
      <w:r w:rsidR="00C03E6C">
        <w:rPr>
          <w:rFonts w:cs="Arial"/>
          <w:szCs w:val="22"/>
        </w:rPr>
        <w:t xml:space="preserve">held </w:t>
      </w:r>
      <w:r w:rsidR="006564DF">
        <w:rPr>
          <w:rFonts w:cs="Arial"/>
          <w:szCs w:val="22"/>
        </w:rPr>
        <w:t xml:space="preserve">in </w:t>
      </w:r>
      <w:r w:rsidR="004E62BE">
        <w:rPr>
          <w:rFonts w:cs="Arial"/>
          <w:szCs w:val="22"/>
        </w:rPr>
        <w:t>Nov</w:t>
      </w:r>
      <w:r w:rsidR="00A706FA">
        <w:rPr>
          <w:rFonts w:cs="Arial"/>
          <w:szCs w:val="22"/>
        </w:rPr>
        <w:t>ember</w:t>
      </w:r>
      <w:r w:rsidR="00516126" w:rsidRPr="007C6925">
        <w:rPr>
          <w:rFonts w:cs="Arial"/>
          <w:szCs w:val="22"/>
        </w:rPr>
        <w:t xml:space="preserve"> </w:t>
      </w:r>
      <w:r w:rsidR="007E6763" w:rsidRPr="007C6925">
        <w:rPr>
          <w:rFonts w:cs="Arial"/>
          <w:szCs w:val="22"/>
        </w:rPr>
        <w:t xml:space="preserve">and </w:t>
      </w:r>
      <w:r w:rsidR="004E62BE">
        <w:rPr>
          <w:rFonts w:cs="Arial"/>
          <w:szCs w:val="22"/>
        </w:rPr>
        <w:t>Decem</w:t>
      </w:r>
      <w:r w:rsidR="00A706FA">
        <w:rPr>
          <w:rFonts w:cs="Arial"/>
          <w:szCs w:val="22"/>
        </w:rPr>
        <w:t>ber</w:t>
      </w:r>
      <w:r w:rsidR="007E6763" w:rsidRPr="007C6925">
        <w:rPr>
          <w:rFonts w:cs="Arial"/>
          <w:szCs w:val="22"/>
        </w:rPr>
        <w:t xml:space="preserve"> </w:t>
      </w:r>
      <w:r w:rsidRPr="007C6925">
        <w:rPr>
          <w:rFonts w:cs="Arial"/>
          <w:szCs w:val="22"/>
        </w:rPr>
        <w:t xml:space="preserve">2015 pertaining to </w:t>
      </w:r>
      <w:r w:rsidR="00611B1A" w:rsidRPr="007C6925">
        <w:rPr>
          <w:rFonts w:cs="Arial"/>
          <w:szCs w:val="22"/>
        </w:rPr>
        <w:t>Māori</w:t>
      </w:r>
      <w:r w:rsidRPr="007C6925">
        <w:rPr>
          <w:rFonts w:cs="Arial"/>
          <w:szCs w:val="22"/>
        </w:rPr>
        <w:t xml:space="preserve"> health.  </w:t>
      </w:r>
    </w:p>
    <w:p w:rsidR="005E6B85" w:rsidRPr="007C6925" w:rsidRDefault="005E6B85" w:rsidP="00E46EA9">
      <w:pPr>
        <w:jc w:val="both"/>
        <w:rPr>
          <w:rFonts w:cs="Arial"/>
          <w:szCs w:val="22"/>
        </w:rPr>
      </w:pPr>
    </w:p>
    <w:p w:rsidR="0077129E" w:rsidRDefault="003A1850" w:rsidP="00E46EA9">
      <w:pPr>
        <w:jc w:val="both"/>
        <w:rPr>
          <w:rFonts w:cs="Arial"/>
          <w:b/>
          <w:szCs w:val="22"/>
        </w:rPr>
      </w:pPr>
      <w:r w:rsidRPr="007C6925">
        <w:rPr>
          <w:rFonts w:cs="Arial"/>
          <w:b/>
          <w:szCs w:val="22"/>
        </w:rPr>
        <w:t>INTRODUCTION</w:t>
      </w:r>
    </w:p>
    <w:p w:rsidR="00AA6B20" w:rsidRPr="00AA6B20" w:rsidRDefault="00AA6B20" w:rsidP="00E46EA9">
      <w:pPr>
        <w:jc w:val="both"/>
        <w:rPr>
          <w:rFonts w:cs="Arial"/>
          <w:szCs w:val="22"/>
        </w:rPr>
      </w:pPr>
      <w:r>
        <w:rPr>
          <w:rFonts w:cs="Arial"/>
          <w:szCs w:val="22"/>
        </w:rPr>
        <w:t xml:space="preserve">In this </w:t>
      </w:r>
      <w:r w:rsidR="001906B9">
        <w:rPr>
          <w:rFonts w:cs="Arial"/>
          <w:szCs w:val="22"/>
        </w:rPr>
        <w:t>month’s</w:t>
      </w:r>
      <w:r>
        <w:rPr>
          <w:rFonts w:cs="Arial"/>
          <w:szCs w:val="22"/>
        </w:rPr>
        <w:t xml:space="preserve"> report </w:t>
      </w:r>
      <w:r w:rsidR="0053209F">
        <w:rPr>
          <w:rFonts w:cs="Arial"/>
          <w:szCs w:val="22"/>
        </w:rPr>
        <w:t xml:space="preserve">with assistance from operations, </w:t>
      </w:r>
      <w:r>
        <w:rPr>
          <w:rFonts w:cs="Arial"/>
          <w:szCs w:val="22"/>
        </w:rPr>
        <w:t>I comment about our performance over the past six months</w:t>
      </w:r>
      <w:r w:rsidR="00E46EA9">
        <w:rPr>
          <w:rFonts w:cs="Arial"/>
          <w:szCs w:val="22"/>
        </w:rPr>
        <w:t xml:space="preserve">. </w:t>
      </w:r>
      <w:r w:rsidR="0053209F">
        <w:rPr>
          <w:rFonts w:cs="Arial"/>
          <w:szCs w:val="22"/>
        </w:rPr>
        <w:t xml:space="preserve"> Previous to the six months, </w:t>
      </w:r>
      <w:r w:rsidR="00BB2C45">
        <w:rPr>
          <w:rFonts w:cs="Arial"/>
          <w:szCs w:val="22"/>
        </w:rPr>
        <w:t>the HBDHB Chair</w:t>
      </w:r>
      <w:r w:rsidR="0053209F">
        <w:rPr>
          <w:rFonts w:cs="Arial"/>
          <w:szCs w:val="22"/>
        </w:rPr>
        <w:t xml:space="preserve"> asked the G</w:t>
      </w:r>
      <w:r w:rsidR="008D76D3">
        <w:rPr>
          <w:rFonts w:cs="Arial"/>
          <w:szCs w:val="22"/>
        </w:rPr>
        <w:t xml:space="preserve">eneral </w:t>
      </w:r>
      <w:r w:rsidR="00BD44A1">
        <w:rPr>
          <w:rFonts w:cs="Arial"/>
          <w:szCs w:val="22"/>
        </w:rPr>
        <w:t>Manager</w:t>
      </w:r>
      <w:r w:rsidR="0053209F">
        <w:rPr>
          <w:rFonts w:cs="Arial"/>
          <w:szCs w:val="22"/>
        </w:rPr>
        <w:t xml:space="preserve"> </w:t>
      </w:r>
      <w:r w:rsidR="00183449">
        <w:rPr>
          <w:rFonts w:cs="Arial"/>
          <w:szCs w:val="22"/>
        </w:rPr>
        <w:t>Māori</w:t>
      </w:r>
      <w:r w:rsidR="0053209F">
        <w:rPr>
          <w:rFonts w:cs="Arial"/>
          <w:szCs w:val="22"/>
        </w:rPr>
        <w:t xml:space="preserve"> Health to list the previous 12 months recommendations of MRB to Board</w:t>
      </w:r>
      <w:r w:rsidR="00757E3F">
        <w:rPr>
          <w:rFonts w:cs="Arial"/>
          <w:szCs w:val="22"/>
        </w:rPr>
        <w:t xml:space="preserve"> with the results</w:t>
      </w:r>
      <w:r w:rsidR="008D76D3">
        <w:rPr>
          <w:rFonts w:cs="Arial"/>
          <w:szCs w:val="22"/>
        </w:rPr>
        <w:t xml:space="preserve">.  </w:t>
      </w:r>
      <w:r w:rsidR="00757E3F">
        <w:rPr>
          <w:rFonts w:cs="Arial"/>
          <w:szCs w:val="22"/>
        </w:rPr>
        <w:t xml:space="preserve">I will have this report to table </w:t>
      </w:r>
      <w:r w:rsidR="008D76D3">
        <w:rPr>
          <w:rFonts w:cs="Arial"/>
          <w:szCs w:val="22"/>
        </w:rPr>
        <w:t xml:space="preserve">on the day of the </w:t>
      </w:r>
      <w:r w:rsidR="00757E3F">
        <w:rPr>
          <w:rFonts w:cs="Arial"/>
          <w:szCs w:val="22"/>
        </w:rPr>
        <w:t>Feb</w:t>
      </w:r>
      <w:r w:rsidR="008D76D3">
        <w:rPr>
          <w:rFonts w:cs="Arial"/>
          <w:szCs w:val="22"/>
        </w:rPr>
        <w:t>ruary</w:t>
      </w:r>
      <w:r w:rsidR="00757E3F">
        <w:rPr>
          <w:rFonts w:cs="Arial"/>
          <w:szCs w:val="22"/>
        </w:rPr>
        <w:t xml:space="preserve"> hui as well.  </w:t>
      </w:r>
      <w:r w:rsidR="008D76D3">
        <w:rPr>
          <w:rFonts w:cs="Arial"/>
          <w:szCs w:val="22"/>
        </w:rPr>
        <w:t>I</w:t>
      </w:r>
      <w:r w:rsidR="0053209F">
        <w:rPr>
          <w:rFonts w:cs="Arial"/>
          <w:szCs w:val="22"/>
        </w:rPr>
        <w:t>t</w:t>
      </w:r>
      <w:r w:rsidR="008D76D3">
        <w:rPr>
          <w:rFonts w:cs="Arial"/>
          <w:szCs w:val="22"/>
        </w:rPr>
        <w:t xml:space="preserve"> i</w:t>
      </w:r>
      <w:r w:rsidR="0053209F">
        <w:rPr>
          <w:rFonts w:cs="Arial"/>
          <w:szCs w:val="22"/>
        </w:rPr>
        <w:t xml:space="preserve">s important that we understand the impact we make as a group to the District Health Board.  </w:t>
      </w:r>
    </w:p>
    <w:p w:rsidR="00012C20" w:rsidRPr="00CA6100" w:rsidRDefault="00012C20" w:rsidP="00E46EA9">
      <w:pPr>
        <w:pStyle w:val="Default"/>
        <w:jc w:val="both"/>
        <w:rPr>
          <w:bCs/>
          <w:sz w:val="22"/>
          <w:szCs w:val="22"/>
        </w:rPr>
      </w:pPr>
    </w:p>
    <w:p w:rsidR="002A265B" w:rsidRPr="008A01AB" w:rsidRDefault="008A01AB" w:rsidP="00E46EA9">
      <w:pPr>
        <w:pStyle w:val="Default"/>
        <w:jc w:val="both"/>
        <w:rPr>
          <w:b/>
          <w:bCs/>
          <w:sz w:val="22"/>
          <w:szCs w:val="22"/>
          <w:lang w:val="mi-NZ"/>
        </w:rPr>
      </w:pPr>
      <w:r>
        <w:rPr>
          <w:b/>
          <w:bCs/>
          <w:sz w:val="22"/>
          <w:szCs w:val="22"/>
        </w:rPr>
        <w:t>ACCELERATING M</w:t>
      </w:r>
      <w:r>
        <w:rPr>
          <w:b/>
          <w:bCs/>
          <w:sz w:val="22"/>
          <w:szCs w:val="22"/>
          <w:lang w:val="mi-NZ"/>
        </w:rPr>
        <w:t>ĀORI HEALTH</w:t>
      </w:r>
    </w:p>
    <w:p w:rsidR="001E6B92" w:rsidRPr="00E46EA9" w:rsidRDefault="00DC380F" w:rsidP="00E46EA9">
      <w:pPr>
        <w:pStyle w:val="Default"/>
        <w:jc w:val="both"/>
        <w:rPr>
          <w:bCs/>
          <w:sz w:val="22"/>
          <w:szCs w:val="22"/>
        </w:rPr>
      </w:pPr>
      <w:r w:rsidRPr="00E46EA9">
        <w:rPr>
          <w:bCs/>
          <w:sz w:val="22"/>
          <w:szCs w:val="22"/>
        </w:rPr>
        <w:t>On reflection of last year, the voice of MRB has been</w:t>
      </w:r>
      <w:r w:rsidR="007C4AA8" w:rsidRPr="00E46EA9">
        <w:rPr>
          <w:bCs/>
          <w:sz w:val="22"/>
          <w:szCs w:val="22"/>
        </w:rPr>
        <w:t xml:space="preserve"> influential</w:t>
      </w:r>
      <w:r w:rsidRPr="00E46EA9">
        <w:rPr>
          <w:bCs/>
          <w:sz w:val="22"/>
          <w:szCs w:val="22"/>
        </w:rPr>
        <w:t xml:space="preserve"> </w:t>
      </w:r>
      <w:r w:rsidR="006564DF">
        <w:rPr>
          <w:bCs/>
          <w:sz w:val="22"/>
          <w:szCs w:val="22"/>
        </w:rPr>
        <w:t xml:space="preserve">in ensuring health equity is achieved by </w:t>
      </w:r>
      <w:r w:rsidR="00E46EA9">
        <w:rPr>
          <w:bCs/>
          <w:sz w:val="22"/>
          <w:szCs w:val="22"/>
        </w:rPr>
        <w:t xml:space="preserve">holding </w:t>
      </w:r>
      <w:r w:rsidR="00FC0E1A">
        <w:rPr>
          <w:bCs/>
          <w:sz w:val="22"/>
          <w:szCs w:val="22"/>
        </w:rPr>
        <w:t>HBDHB</w:t>
      </w:r>
      <w:r w:rsidR="00E46EA9">
        <w:rPr>
          <w:bCs/>
          <w:sz w:val="22"/>
          <w:szCs w:val="22"/>
        </w:rPr>
        <w:t xml:space="preserve"> to account and </w:t>
      </w:r>
      <w:r w:rsidRPr="00E46EA9">
        <w:rPr>
          <w:bCs/>
          <w:sz w:val="22"/>
          <w:szCs w:val="22"/>
        </w:rPr>
        <w:t xml:space="preserve">prompting </w:t>
      </w:r>
      <w:r w:rsidR="00E46EA9">
        <w:rPr>
          <w:bCs/>
          <w:sz w:val="22"/>
          <w:szCs w:val="22"/>
        </w:rPr>
        <w:t xml:space="preserve">the need for </w:t>
      </w:r>
      <w:r w:rsidRPr="00E46EA9">
        <w:rPr>
          <w:bCs/>
          <w:sz w:val="22"/>
          <w:szCs w:val="22"/>
        </w:rPr>
        <w:t>policies, strategies and plans</w:t>
      </w:r>
      <w:r w:rsidR="00E46EA9">
        <w:rPr>
          <w:bCs/>
          <w:sz w:val="22"/>
          <w:szCs w:val="22"/>
        </w:rPr>
        <w:t xml:space="preserve"> to be reviewed</w:t>
      </w:r>
      <w:r w:rsidR="00FC0E1A">
        <w:rPr>
          <w:bCs/>
          <w:sz w:val="22"/>
          <w:szCs w:val="22"/>
        </w:rPr>
        <w:t xml:space="preserve"> to better accommodate the health gains of </w:t>
      </w:r>
      <w:r w:rsidR="00183449">
        <w:rPr>
          <w:bCs/>
          <w:sz w:val="22"/>
          <w:szCs w:val="22"/>
        </w:rPr>
        <w:t>Māori</w:t>
      </w:r>
      <w:r w:rsidR="0075736F">
        <w:rPr>
          <w:bCs/>
          <w:sz w:val="22"/>
          <w:szCs w:val="22"/>
        </w:rPr>
        <w:t>.</w:t>
      </w:r>
      <w:r w:rsidR="00E46EA9" w:rsidRPr="00E46EA9">
        <w:rPr>
          <w:sz w:val="22"/>
          <w:szCs w:val="22"/>
        </w:rPr>
        <w:t xml:space="preserve">  Whilst the </w:t>
      </w:r>
      <w:r w:rsidR="0075736F">
        <w:rPr>
          <w:sz w:val="22"/>
          <w:szCs w:val="22"/>
        </w:rPr>
        <w:t>campaigns</w:t>
      </w:r>
      <w:r w:rsidR="0075736F" w:rsidRPr="00E46EA9">
        <w:rPr>
          <w:sz w:val="22"/>
          <w:szCs w:val="22"/>
        </w:rPr>
        <w:t xml:space="preserve"> </w:t>
      </w:r>
      <w:r w:rsidR="00E46EA9" w:rsidRPr="00E46EA9">
        <w:rPr>
          <w:sz w:val="22"/>
          <w:szCs w:val="22"/>
        </w:rPr>
        <w:t xml:space="preserve">may seem laborious, the results have meant </w:t>
      </w:r>
      <w:r w:rsidR="00FC0E1A">
        <w:rPr>
          <w:sz w:val="22"/>
          <w:szCs w:val="22"/>
        </w:rPr>
        <w:t xml:space="preserve">that we are on the right path to improving </w:t>
      </w:r>
      <w:r w:rsidR="0075736F">
        <w:rPr>
          <w:sz w:val="22"/>
          <w:szCs w:val="22"/>
        </w:rPr>
        <w:t>health equity</w:t>
      </w:r>
      <w:r w:rsidR="00E46EA9" w:rsidRPr="00E46EA9">
        <w:rPr>
          <w:sz w:val="22"/>
          <w:szCs w:val="22"/>
        </w:rPr>
        <w:t xml:space="preserve"> for the population within the Kahungunu rohe</w:t>
      </w:r>
      <w:r w:rsidR="006564DF">
        <w:rPr>
          <w:sz w:val="22"/>
          <w:szCs w:val="22"/>
        </w:rPr>
        <w:t xml:space="preserve">.  These achievements are </w:t>
      </w:r>
      <w:r w:rsidRPr="00E46EA9">
        <w:rPr>
          <w:bCs/>
          <w:sz w:val="22"/>
          <w:szCs w:val="22"/>
        </w:rPr>
        <w:t xml:space="preserve">highlighted </w:t>
      </w:r>
      <w:r w:rsidR="001E6B92" w:rsidRPr="00E46EA9">
        <w:rPr>
          <w:bCs/>
          <w:sz w:val="22"/>
          <w:szCs w:val="22"/>
        </w:rPr>
        <w:t xml:space="preserve">in the </w:t>
      </w:r>
      <w:r w:rsidRPr="00E46EA9">
        <w:rPr>
          <w:bCs/>
          <w:sz w:val="22"/>
          <w:szCs w:val="22"/>
        </w:rPr>
        <w:t xml:space="preserve">following </w:t>
      </w:r>
      <w:r w:rsidR="00C5367C" w:rsidRPr="00E46EA9">
        <w:rPr>
          <w:bCs/>
          <w:sz w:val="22"/>
          <w:szCs w:val="22"/>
        </w:rPr>
        <w:t>table</w:t>
      </w:r>
      <w:r w:rsidR="001E6B92" w:rsidRPr="00E46EA9">
        <w:rPr>
          <w:bCs/>
          <w:sz w:val="22"/>
          <w:szCs w:val="22"/>
        </w:rPr>
        <w:t>s</w:t>
      </w:r>
      <w:r w:rsidR="0075736F">
        <w:rPr>
          <w:bCs/>
          <w:sz w:val="22"/>
          <w:szCs w:val="22"/>
        </w:rPr>
        <w:t xml:space="preserve"> dating from </w:t>
      </w:r>
      <w:r w:rsidR="009F2CEA">
        <w:rPr>
          <w:bCs/>
          <w:sz w:val="22"/>
          <w:szCs w:val="22"/>
        </w:rPr>
        <w:t xml:space="preserve">June </w:t>
      </w:r>
      <w:r w:rsidR="0075736F">
        <w:rPr>
          <w:bCs/>
          <w:sz w:val="22"/>
          <w:szCs w:val="22"/>
        </w:rPr>
        <w:t xml:space="preserve">through to </w:t>
      </w:r>
      <w:r w:rsidR="009F2CEA">
        <w:rPr>
          <w:bCs/>
          <w:sz w:val="22"/>
          <w:szCs w:val="22"/>
        </w:rPr>
        <w:t xml:space="preserve">December </w:t>
      </w:r>
      <w:r w:rsidR="0075736F">
        <w:rPr>
          <w:bCs/>
          <w:sz w:val="22"/>
          <w:szCs w:val="22"/>
        </w:rPr>
        <w:t>2015</w:t>
      </w:r>
      <w:r w:rsidR="008D76D3">
        <w:rPr>
          <w:bCs/>
          <w:sz w:val="22"/>
          <w:szCs w:val="22"/>
        </w:rPr>
        <w:t>.  Of note, the</w:t>
      </w:r>
      <w:r w:rsidR="006564DF">
        <w:rPr>
          <w:bCs/>
          <w:sz w:val="22"/>
          <w:szCs w:val="22"/>
        </w:rPr>
        <w:t xml:space="preserve"> gains achieved through</w:t>
      </w:r>
      <w:r w:rsidR="0075736F">
        <w:rPr>
          <w:bCs/>
          <w:sz w:val="22"/>
          <w:szCs w:val="22"/>
        </w:rPr>
        <w:t xml:space="preserve"> the Te Ara Whakawaiora programme</w:t>
      </w:r>
      <w:r w:rsidR="008D76D3">
        <w:rPr>
          <w:bCs/>
          <w:sz w:val="22"/>
          <w:szCs w:val="22"/>
        </w:rPr>
        <w:t xml:space="preserve"> are not included</w:t>
      </w:r>
      <w:r w:rsidR="001E6B92" w:rsidRPr="00E46EA9">
        <w:rPr>
          <w:bCs/>
          <w:sz w:val="22"/>
          <w:szCs w:val="22"/>
        </w:rPr>
        <w:t>:</w:t>
      </w:r>
    </w:p>
    <w:p w:rsidR="00C5367C" w:rsidRDefault="00C5367C" w:rsidP="002A265B">
      <w:pPr>
        <w:pStyle w:val="Default"/>
        <w:jc w:val="both"/>
        <w:rPr>
          <w:bCs/>
          <w:sz w:val="22"/>
          <w:szCs w:val="22"/>
        </w:rPr>
      </w:pPr>
    </w:p>
    <w:tbl>
      <w:tblPr>
        <w:tblStyle w:val="TableGrid"/>
        <w:tblW w:w="0" w:type="auto"/>
        <w:tblLook w:val="04A0" w:firstRow="1" w:lastRow="0" w:firstColumn="1" w:lastColumn="0" w:noHBand="0" w:noVBand="1"/>
      </w:tblPr>
      <w:tblGrid>
        <w:gridCol w:w="2798"/>
        <w:gridCol w:w="3525"/>
        <w:gridCol w:w="3306"/>
      </w:tblGrid>
      <w:tr w:rsidR="009F2CEA" w:rsidRPr="005E564F" w:rsidTr="003A3131">
        <w:tc>
          <w:tcPr>
            <w:tcW w:w="2798"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June</w:t>
            </w:r>
          </w:p>
        </w:tc>
        <w:tc>
          <w:tcPr>
            <w:tcW w:w="3525"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MRB</w:t>
            </w:r>
          </w:p>
        </w:tc>
        <w:tc>
          <w:tcPr>
            <w:tcW w:w="3306" w:type="dxa"/>
            <w:shd w:val="clear" w:color="auto" w:fill="D9D9D9" w:themeFill="background1" w:themeFillShade="D9"/>
          </w:tcPr>
          <w:p w:rsidR="009F2CEA" w:rsidRPr="005E564F" w:rsidRDefault="0053209F" w:rsidP="003A3131">
            <w:pPr>
              <w:pStyle w:val="Default"/>
              <w:jc w:val="both"/>
              <w:rPr>
                <w:b/>
                <w:bCs/>
                <w:sz w:val="22"/>
                <w:szCs w:val="22"/>
              </w:rPr>
            </w:pPr>
            <w:r>
              <w:rPr>
                <w:b/>
                <w:bCs/>
                <w:sz w:val="22"/>
                <w:szCs w:val="22"/>
              </w:rPr>
              <w:t>Impact</w:t>
            </w:r>
          </w:p>
        </w:tc>
      </w:tr>
      <w:tr w:rsidR="009F2CEA" w:rsidRPr="0065255D" w:rsidTr="003A3131">
        <w:tc>
          <w:tcPr>
            <w:tcW w:w="2798" w:type="dxa"/>
          </w:tcPr>
          <w:p w:rsidR="009F2CEA" w:rsidRPr="0065255D" w:rsidRDefault="009F2CEA" w:rsidP="003A3131">
            <w:pPr>
              <w:pStyle w:val="Default"/>
              <w:jc w:val="both"/>
              <w:rPr>
                <w:bCs/>
                <w:sz w:val="20"/>
                <w:szCs w:val="20"/>
              </w:rPr>
            </w:pPr>
            <w:r>
              <w:rPr>
                <w:bCs/>
                <w:sz w:val="20"/>
                <w:szCs w:val="20"/>
              </w:rPr>
              <w:t>Health Literacy – Framework Establishment</w:t>
            </w:r>
          </w:p>
        </w:tc>
        <w:tc>
          <w:tcPr>
            <w:tcW w:w="3525" w:type="dxa"/>
          </w:tcPr>
          <w:p w:rsidR="009F2CEA" w:rsidRDefault="009F2CEA" w:rsidP="003A3131">
            <w:pPr>
              <w:pStyle w:val="Default"/>
              <w:jc w:val="both"/>
              <w:rPr>
                <w:bCs/>
                <w:sz w:val="20"/>
                <w:szCs w:val="20"/>
              </w:rPr>
            </w:pPr>
            <w:r>
              <w:rPr>
                <w:bCs/>
                <w:sz w:val="20"/>
                <w:szCs w:val="20"/>
              </w:rPr>
              <w:t>Endorsed Terms of Reference and provided the following advice:</w:t>
            </w:r>
          </w:p>
          <w:p w:rsidR="009F2CEA" w:rsidRDefault="009F2CEA" w:rsidP="003A3131">
            <w:pPr>
              <w:pStyle w:val="Default"/>
              <w:numPr>
                <w:ilvl w:val="0"/>
                <w:numId w:val="17"/>
              </w:numPr>
              <w:ind w:left="350" w:hanging="350"/>
              <w:jc w:val="both"/>
              <w:rPr>
                <w:bCs/>
                <w:sz w:val="20"/>
                <w:szCs w:val="20"/>
              </w:rPr>
            </w:pPr>
            <w:r>
              <w:rPr>
                <w:bCs/>
                <w:sz w:val="20"/>
                <w:szCs w:val="20"/>
              </w:rPr>
              <w:t xml:space="preserve">Too DHB focused and recommended wider representation from the community and primary care to the group.  </w:t>
            </w:r>
          </w:p>
          <w:p w:rsidR="009F2CEA" w:rsidRDefault="009F2CEA" w:rsidP="003A3131">
            <w:pPr>
              <w:pStyle w:val="Default"/>
              <w:numPr>
                <w:ilvl w:val="0"/>
                <w:numId w:val="17"/>
              </w:numPr>
              <w:ind w:left="350" w:hanging="350"/>
              <w:jc w:val="both"/>
              <w:rPr>
                <w:bCs/>
                <w:sz w:val="20"/>
                <w:szCs w:val="20"/>
              </w:rPr>
            </w:pPr>
            <w:r>
              <w:rPr>
                <w:bCs/>
                <w:sz w:val="20"/>
                <w:szCs w:val="20"/>
              </w:rPr>
              <w:t>In addition, the appointment of GM Māori Health over and above the MHS representative.</w:t>
            </w:r>
          </w:p>
          <w:p w:rsidR="009F2CEA" w:rsidRDefault="009F2CEA" w:rsidP="003A3131">
            <w:pPr>
              <w:pStyle w:val="Default"/>
              <w:jc w:val="both"/>
              <w:rPr>
                <w:bCs/>
                <w:sz w:val="20"/>
                <w:szCs w:val="20"/>
              </w:rPr>
            </w:pPr>
          </w:p>
          <w:p w:rsidR="009F2CEA" w:rsidRPr="0065255D" w:rsidRDefault="009F2CEA" w:rsidP="003A3131">
            <w:pPr>
              <w:pStyle w:val="Default"/>
              <w:jc w:val="both"/>
              <w:rPr>
                <w:bCs/>
                <w:sz w:val="20"/>
                <w:szCs w:val="20"/>
              </w:rPr>
            </w:pPr>
            <w:r>
              <w:rPr>
                <w:bCs/>
                <w:sz w:val="20"/>
                <w:szCs w:val="20"/>
              </w:rPr>
              <w:t>Requested the addition of a health literacy component to the DNA project.</w:t>
            </w:r>
          </w:p>
        </w:tc>
        <w:tc>
          <w:tcPr>
            <w:tcW w:w="3306" w:type="dxa"/>
          </w:tcPr>
          <w:p w:rsidR="009F2CEA" w:rsidRDefault="009F2CEA" w:rsidP="003A3131">
            <w:pPr>
              <w:pStyle w:val="Default"/>
              <w:jc w:val="both"/>
              <w:rPr>
                <w:bCs/>
                <w:sz w:val="20"/>
                <w:szCs w:val="20"/>
              </w:rPr>
            </w:pPr>
            <w:r>
              <w:rPr>
                <w:bCs/>
                <w:sz w:val="20"/>
                <w:szCs w:val="20"/>
              </w:rPr>
              <w:t>Kaitakawaenga DNA made a member of the Health Literacy group.</w:t>
            </w:r>
          </w:p>
          <w:p w:rsidR="009F2CEA" w:rsidRDefault="009F2CEA" w:rsidP="003A3131">
            <w:pPr>
              <w:pStyle w:val="Default"/>
              <w:jc w:val="both"/>
              <w:rPr>
                <w:bCs/>
                <w:sz w:val="20"/>
                <w:szCs w:val="20"/>
              </w:rPr>
            </w:pPr>
          </w:p>
          <w:p w:rsidR="009F2CEA" w:rsidRPr="0065255D" w:rsidRDefault="009F2CEA" w:rsidP="003A3131">
            <w:pPr>
              <w:pStyle w:val="Default"/>
              <w:jc w:val="both"/>
              <w:rPr>
                <w:bCs/>
                <w:sz w:val="20"/>
                <w:szCs w:val="20"/>
              </w:rPr>
            </w:pPr>
            <w:r>
              <w:rPr>
                <w:bCs/>
                <w:sz w:val="20"/>
                <w:szCs w:val="20"/>
              </w:rPr>
              <w:t xml:space="preserve">GM </w:t>
            </w:r>
            <w:r w:rsidR="00183449">
              <w:rPr>
                <w:bCs/>
                <w:sz w:val="20"/>
                <w:szCs w:val="20"/>
              </w:rPr>
              <w:t>Māori</w:t>
            </w:r>
            <w:r>
              <w:rPr>
                <w:bCs/>
                <w:sz w:val="20"/>
                <w:szCs w:val="20"/>
              </w:rPr>
              <w:t xml:space="preserve"> Health now a member on the Steering Group</w:t>
            </w:r>
            <w:r w:rsidR="00B368A9">
              <w:rPr>
                <w:bCs/>
                <w:sz w:val="20"/>
                <w:szCs w:val="20"/>
              </w:rPr>
              <w:t>.</w:t>
            </w:r>
          </w:p>
        </w:tc>
      </w:tr>
      <w:tr w:rsidR="009F2CEA" w:rsidRPr="0065255D" w:rsidTr="003A3131">
        <w:tc>
          <w:tcPr>
            <w:tcW w:w="2798" w:type="dxa"/>
          </w:tcPr>
          <w:p w:rsidR="009F2CEA" w:rsidRDefault="009F2CEA" w:rsidP="003A3131">
            <w:pPr>
              <w:pStyle w:val="Default"/>
              <w:jc w:val="both"/>
              <w:rPr>
                <w:bCs/>
                <w:sz w:val="20"/>
                <w:szCs w:val="20"/>
              </w:rPr>
            </w:pPr>
            <w:r>
              <w:rPr>
                <w:bCs/>
                <w:sz w:val="20"/>
                <w:szCs w:val="20"/>
              </w:rPr>
              <w:lastRenderedPageBreak/>
              <w:t>Māori Nursing Recruitment</w:t>
            </w:r>
          </w:p>
        </w:tc>
        <w:tc>
          <w:tcPr>
            <w:tcW w:w="3525" w:type="dxa"/>
          </w:tcPr>
          <w:p w:rsidR="009F2CEA" w:rsidRDefault="009F2CEA" w:rsidP="00B368A9">
            <w:pPr>
              <w:pStyle w:val="Default"/>
              <w:jc w:val="both"/>
              <w:rPr>
                <w:bCs/>
                <w:sz w:val="20"/>
                <w:szCs w:val="20"/>
              </w:rPr>
            </w:pPr>
            <w:r>
              <w:rPr>
                <w:bCs/>
                <w:sz w:val="20"/>
                <w:szCs w:val="20"/>
              </w:rPr>
              <w:t>Resolve issues for Māori nurse graduates</w:t>
            </w:r>
            <w:r w:rsidR="00B368A9">
              <w:rPr>
                <w:bCs/>
                <w:sz w:val="20"/>
                <w:szCs w:val="20"/>
              </w:rPr>
              <w:t xml:space="preserve">.  </w:t>
            </w:r>
          </w:p>
        </w:tc>
        <w:tc>
          <w:tcPr>
            <w:tcW w:w="3306" w:type="dxa"/>
          </w:tcPr>
          <w:p w:rsidR="009F2CEA" w:rsidRDefault="009F2CEA" w:rsidP="003A3131">
            <w:pPr>
              <w:pStyle w:val="Default"/>
              <w:jc w:val="both"/>
              <w:rPr>
                <w:bCs/>
                <w:sz w:val="20"/>
                <w:szCs w:val="20"/>
              </w:rPr>
            </w:pPr>
            <w:r>
              <w:rPr>
                <w:bCs/>
                <w:sz w:val="20"/>
                <w:szCs w:val="20"/>
              </w:rPr>
              <w:t>Partnership between NZNO, EIT, NKII and HBDHB who are working on resolving issues.</w:t>
            </w:r>
          </w:p>
          <w:p w:rsidR="00B368A9" w:rsidRDefault="00B368A9" w:rsidP="003A3131">
            <w:pPr>
              <w:pStyle w:val="Default"/>
              <w:jc w:val="both"/>
              <w:rPr>
                <w:bCs/>
                <w:sz w:val="20"/>
                <w:szCs w:val="20"/>
              </w:rPr>
            </w:pPr>
          </w:p>
          <w:p w:rsidR="00B368A9" w:rsidRDefault="009F2CEA" w:rsidP="00B368A9">
            <w:pPr>
              <w:pStyle w:val="Default"/>
              <w:jc w:val="both"/>
              <w:rPr>
                <w:bCs/>
                <w:sz w:val="20"/>
                <w:szCs w:val="20"/>
              </w:rPr>
            </w:pPr>
            <w:r>
              <w:rPr>
                <w:bCs/>
                <w:sz w:val="20"/>
                <w:szCs w:val="20"/>
              </w:rPr>
              <w:t>40% of last intake into the N</w:t>
            </w:r>
            <w:r w:rsidR="00BD44A1">
              <w:rPr>
                <w:bCs/>
                <w:sz w:val="20"/>
                <w:szCs w:val="20"/>
              </w:rPr>
              <w:t>EtP</w:t>
            </w:r>
            <w:r>
              <w:rPr>
                <w:bCs/>
                <w:sz w:val="20"/>
                <w:szCs w:val="20"/>
              </w:rPr>
              <w:t xml:space="preserve"> programme were </w:t>
            </w:r>
            <w:r w:rsidR="00183449">
              <w:rPr>
                <w:bCs/>
                <w:sz w:val="20"/>
                <w:szCs w:val="20"/>
              </w:rPr>
              <w:t>Māori</w:t>
            </w:r>
            <w:r w:rsidR="00B368A9">
              <w:rPr>
                <w:bCs/>
                <w:sz w:val="20"/>
                <w:szCs w:val="20"/>
              </w:rPr>
              <w:t>.</w:t>
            </w:r>
          </w:p>
          <w:p w:rsidR="00B368A9" w:rsidRDefault="00B368A9" w:rsidP="00B368A9">
            <w:pPr>
              <w:pStyle w:val="Default"/>
              <w:jc w:val="both"/>
              <w:rPr>
                <w:bCs/>
                <w:sz w:val="20"/>
                <w:szCs w:val="20"/>
              </w:rPr>
            </w:pPr>
          </w:p>
          <w:p w:rsidR="00B368A9" w:rsidRDefault="009F2CEA" w:rsidP="00B368A9">
            <w:pPr>
              <w:pStyle w:val="Default"/>
              <w:jc w:val="both"/>
              <w:rPr>
                <w:bCs/>
                <w:sz w:val="20"/>
                <w:szCs w:val="20"/>
              </w:rPr>
            </w:pPr>
            <w:r>
              <w:rPr>
                <w:bCs/>
                <w:sz w:val="20"/>
                <w:szCs w:val="20"/>
              </w:rPr>
              <w:t xml:space="preserve">EIT Head of School for Nursing is now on the Steering Group for the </w:t>
            </w:r>
            <w:r w:rsidR="00183449">
              <w:rPr>
                <w:bCs/>
                <w:sz w:val="20"/>
                <w:szCs w:val="20"/>
              </w:rPr>
              <w:t>Tūruki</w:t>
            </w:r>
            <w:r>
              <w:rPr>
                <w:bCs/>
                <w:sz w:val="20"/>
                <w:szCs w:val="20"/>
              </w:rPr>
              <w:t xml:space="preserve"> programme</w:t>
            </w:r>
            <w:r w:rsidR="00B368A9">
              <w:rPr>
                <w:bCs/>
                <w:sz w:val="20"/>
                <w:szCs w:val="20"/>
              </w:rPr>
              <w:t>.</w:t>
            </w:r>
          </w:p>
          <w:p w:rsidR="00B368A9" w:rsidRDefault="00B368A9" w:rsidP="00B368A9">
            <w:pPr>
              <w:pStyle w:val="Default"/>
              <w:jc w:val="both"/>
              <w:rPr>
                <w:bCs/>
                <w:sz w:val="20"/>
                <w:szCs w:val="20"/>
              </w:rPr>
            </w:pPr>
          </w:p>
          <w:p w:rsidR="00B368A9" w:rsidRDefault="009F2CEA" w:rsidP="00B368A9">
            <w:pPr>
              <w:pStyle w:val="Default"/>
              <w:jc w:val="both"/>
              <w:rPr>
                <w:bCs/>
                <w:sz w:val="20"/>
                <w:szCs w:val="20"/>
              </w:rPr>
            </w:pPr>
            <w:r>
              <w:rPr>
                <w:bCs/>
                <w:sz w:val="20"/>
                <w:szCs w:val="20"/>
              </w:rPr>
              <w:t>Monthly meetings now occurring between EIT and Chief Nursing Officer</w:t>
            </w:r>
            <w:r w:rsidR="00B368A9">
              <w:rPr>
                <w:bCs/>
                <w:sz w:val="20"/>
                <w:szCs w:val="20"/>
              </w:rPr>
              <w:t xml:space="preserve">.  </w:t>
            </w:r>
          </w:p>
          <w:p w:rsidR="00B368A9" w:rsidRDefault="00B368A9" w:rsidP="00B368A9">
            <w:pPr>
              <w:pStyle w:val="Default"/>
              <w:jc w:val="both"/>
              <w:rPr>
                <w:bCs/>
                <w:sz w:val="20"/>
                <w:szCs w:val="20"/>
              </w:rPr>
            </w:pPr>
          </w:p>
          <w:p w:rsidR="009F2CEA" w:rsidRPr="0065255D" w:rsidRDefault="009F2CEA" w:rsidP="00B368A9">
            <w:pPr>
              <w:pStyle w:val="Default"/>
              <w:jc w:val="both"/>
              <w:rPr>
                <w:bCs/>
                <w:sz w:val="20"/>
                <w:szCs w:val="20"/>
              </w:rPr>
            </w:pPr>
            <w:r>
              <w:rPr>
                <w:bCs/>
                <w:sz w:val="20"/>
                <w:szCs w:val="20"/>
              </w:rPr>
              <w:t>Nurse Director</w:t>
            </w:r>
            <w:r w:rsidR="00B368A9">
              <w:rPr>
                <w:bCs/>
                <w:sz w:val="20"/>
                <w:szCs w:val="20"/>
              </w:rPr>
              <w:t xml:space="preserve"> </w:t>
            </w:r>
            <w:r w:rsidR="00183449">
              <w:rPr>
                <w:bCs/>
                <w:sz w:val="20"/>
                <w:szCs w:val="20"/>
              </w:rPr>
              <w:t>Māori</w:t>
            </w:r>
            <w:r>
              <w:rPr>
                <w:bCs/>
                <w:sz w:val="20"/>
                <w:szCs w:val="20"/>
              </w:rPr>
              <w:t xml:space="preserve"> Health has been propped up to a full FTE through the Clinical Council process for new funding bids.  First round of recruitment was unsuccessful.  </w:t>
            </w:r>
            <w:r w:rsidR="00B368A9">
              <w:rPr>
                <w:bCs/>
                <w:sz w:val="20"/>
                <w:szCs w:val="20"/>
              </w:rPr>
              <w:t>Second round begins in February 2016.</w:t>
            </w:r>
          </w:p>
        </w:tc>
      </w:tr>
    </w:tbl>
    <w:p w:rsidR="009F2CEA" w:rsidRDefault="009F2CEA" w:rsidP="009F2CEA"/>
    <w:tbl>
      <w:tblPr>
        <w:tblStyle w:val="TableGrid"/>
        <w:tblW w:w="0" w:type="auto"/>
        <w:tblLook w:val="04A0" w:firstRow="1" w:lastRow="0" w:firstColumn="1" w:lastColumn="0" w:noHBand="0" w:noVBand="1"/>
      </w:tblPr>
      <w:tblGrid>
        <w:gridCol w:w="2798"/>
        <w:gridCol w:w="3525"/>
        <w:gridCol w:w="3306"/>
      </w:tblGrid>
      <w:tr w:rsidR="009F2CEA" w:rsidRPr="005E564F" w:rsidTr="003A3131">
        <w:tc>
          <w:tcPr>
            <w:tcW w:w="2798"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July</w:t>
            </w:r>
          </w:p>
        </w:tc>
        <w:tc>
          <w:tcPr>
            <w:tcW w:w="3525"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MRB</w:t>
            </w:r>
          </w:p>
        </w:tc>
        <w:tc>
          <w:tcPr>
            <w:tcW w:w="3306" w:type="dxa"/>
            <w:shd w:val="clear" w:color="auto" w:fill="D9D9D9" w:themeFill="background1" w:themeFillShade="D9"/>
          </w:tcPr>
          <w:p w:rsidR="009F2CEA" w:rsidRPr="005E564F" w:rsidRDefault="0053209F" w:rsidP="003A3131">
            <w:pPr>
              <w:pStyle w:val="Default"/>
              <w:jc w:val="both"/>
              <w:rPr>
                <w:b/>
                <w:bCs/>
                <w:sz w:val="22"/>
                <w:szCs w:val="22"/>
              </w:rPr>
            </w:pPr>
            <w:r>
              <w:rPr>
                <w:b/>
                <w:bCs/>
                <w:sz w:val="22"/>
                <w:szCs w:val="22"/>
              </w:rPr>
              <w:t>Impact</w:t>
            </w:r>
          </w:p>
        </w:tc>
      </w:tr>
      <w:tr w:rsidR="009F2CEA" w:rsidRPr="0065255D" w:rsidTr="003A3131">
        <w:tc>
          <w:tcPr>
            <w:tcW w:w="2798" w:type="dxa"/>
          </w:tcPr>
          <w:p w:rsidR="009F2CEA" w:rsidRPr="0065255D" w:rsidRDefault="009F2CEA" w:rsidP="003A3131">
            <w:pPr>
              <w:pStyle w:val="Default"/>
              <w:jc w:val="both"/>
              <w:rPr>
                <w:bCs/>
                <w:sz w:val="20"/>
                <w:szCs w:val="20"/>
              </w:rPr>
            </w:pPr>
            <w:r>
              <w:rPr>
                <w:bCs/>
                <w:sz w:val="20"/>
                <w:szCs w:val="20"/>
              </w:rPr>
              <w:t>Tobacco Control Plan</w:t>
            </w:r>
          </w:p>
        </w:tc>
        <w:tc>
          <w:tcPr>
            <w:tcW w:w="3525" w:type="dxa"/>
          </w:tcPr>
          <w:p w:rsidR="009F2CEA" w:rsidRPr="003122B1" w:rsidRDefault="009F2CEA" w:rsidP="003A3131">
            <w:pPr>
              <w:pStyle w:val="Default"/>
              <w:jc w:val="both"/>
              <w:rPr>
                <w:bCs/>
                <w:sz w:val="20"/>
                <w:szCs w:val="20"/>
              </w:rPr>
            </w:pPr>
            <w:r w:rsidRPr="003122B1">
              <w:rPr>
                <w:bCs/>
                <w:sz w:val="20"/>
                <w:szCs w:val="20"/>
              </w:rPr>
              <w:t>Agreed a Tobacco Control Plan is neede</w:t>
            </w:r>
            <w:r>
              <w:rPr>
                <w:bCs/>
                <w:sz w:val="20"/>
                <w:szCs w:val="20"/>
              </w:rPr>
              <w:t>d</w:t>
            </w:r>
            <w:r w:rsidRPr="003122B1">
              <w:rPr>
                <w:bCs/>
                <w:sz w:val="20"/>
                <w:szCs w:val="20"/>
              </w:rPr>
              <w:t xml:space="preserve"> and provided feedback</w:t>
            </w:r>
            <w:r>
              <w:rPr>
                <w:bCs/>
                <w:sz w:val="20"/>
                <w:szCs w:val="20"/>
              </w:rPr>
              <w:t xml:space="preserve"> summarised below</w:t>
            </w:r>
            <w:r w:rsidRPr="003122B1">
              <w:rPr>
                <w:bCs/>
                <w:sz w:val="20"/>
                <w:szCs w:val="20"/>
              </w:rPr>
              <w:t>:</w:t>
            </w:r>
          </w:p>
          <w:p w:rsidR="009F2CEA" w:rsidRPr="003122B1" w:rsidRDefault="009F2CEA" w:rsidP="003A3131">
            <w:pPr>
              <w:pStyle w:val="ListParagraph"/>
              <w:numPr>
                <w:ilvl w:val="0"/>
                <w:numId w:val="18"/>
              </w:numPr>
              <w:tabs>
                <w:tab w:val="left" w:pos="567"/>
              </w:tabs>
              <w:ind w:left="352" w:hanging="352"/>
              <w:contextualSpacing w:val="0"/>
              <w:jc w:val="both"/>
              <w:outlineLvl w:val="0"/>
              <w:rPr>
                <w:rFonts w:cs="Arial"/>
                <w:sz w:val="20"/>
              </w:rPr>
            </w:pPr>
            <w:r>
              <w:rPr>
                <w:rFonts w:cs="Arial"/>
                <w:sz w:val="20"/>
              </w:rPr>
              <w:t xml:space="preserve">Strategy </w:t>
            </w:r>
            <w:r w:rsidRPr="003122B1">
              <w:rPr>
                <w:rFonts w:cs="Arial"/>
                <w:sz w:val="20"/>
              </w:rPr>
              <w:t>description and how goals are achieved is Whānau Ora</w:t>
            </w:r>
            <w:r>
              <w:rPr>
                <w:rFonts w:cs="Arial"/>
                <w:sz w:val="20"/>
              </w:rPr>
              <w:t xml:space="preserve"> and should be </w:t>
            </w:r>
            <w:r w:rsidRPr="003122B1">
              <w:rPr>
                <w:rFonts w:cs="Arial"/>
                <w:sz w:val="20"/>
              </w:rPr>
              <w:t>promoted as a Whānau Ora initiative.</w:t>
            </w:r>
          </w:p>
          <w:p w:rsidR="009F2CEA" w:rsidRPr="003122B1" w:rsidRDefault="009F2CEA" w:rsidP="003A3131">
            <w:pPr>
              <w:pStyle w:val="ListParagraph"/>
              <w:numPr>
                <w:ilvl w:val="0"/>
                <w:numId w:val="18"/>
              </w:numPr>
              <w:tabs>
                <w:tab w:val="left" w:pos="567"/>
              </w:tabs>
              <w:ind w:left="352" w:hanging="352"/>
              <w:contextualSpacing w:val="0"/>
              <w:jc w:val="both"/>
              <w:outlineLvl w:val="0"/>
              <w:rPr>
                <w:rFonts w:cs="Arial"/>
                <w:sz w:val="20"/>
              </w:rPr>
            </w:pPr>
            <w:r w:rsidRPr="003122B1">
              <w:rPr>
                <w:rFonts w:cs="Arial"/>
                <w:sz w:val="20"/>
              </w:rPr>
              <w:t xml:space="preserve">Add Matatini to Year 2 of the Planned Activities 2015/16 as an event to empower organisers to be tobacco free, conduct screening, deliver the educational packages targeting </w:t>
            </w:r>
            <w:r>
              <w:rPr>
                <w:rFonts w:cs="Arial"/>
                <w:sz w:val="20"/>
              </w:rPr>
              <w:t>Māori</w:t>
            </w:r>
            <w:r w:rsidRPr="003122B1">
              <w:rPr>
                <w:rFonts w:cs="Arial"/>
                <w:sz w:val="20"/>
              </w:rPr>
              <w:t xml:space="preserve"> women and rangatahi, and engage providers.</w:t>
            </w:r>
          </w:p>
          <w:p w:rsidR="009F2CEA" w:rsidRPr="003122B1" w:rsidRDefault="009F2CEA" w:rsidP="003A3131">
            <w:pPr>
              <w:pStyle w:val="ListParagraph"/>
              <w:numPr>
                <w:ilvl w:val="0"/>
                <w:numId w:val="18"/>
              </w:numPr>
              <w:tabs>
                <w:tab w:val="left" w:pos="567"/>
              </w:tabs>
              <w:ind w:left="352" w:hanging="352"/>
              <w:contextualSpacing w:val="0"/>
              <w:jc w:val="both"/>
              <w:outlineLvl w:val="0"/>
              <w:rPr>
                <w:rFonts w:cs="Arial"/>
                <w:sz w:val="20"/>
              </w:rPr>
            </w:pPr>
            <w:r w:rsidRPr="003122B1">
              <w:rPr>
                <w:rFonts w:cs="Arial"/>
                <w:sz w:val="20"/>
              </w:rPr>
              <w:t>‘Other Linkages’</w:t>
            </w:r>
            <w:r>
              <w:rPr>
                <w:rFonts w:cs="Arial"/>
                <w:sz w:val="20"/>
              </w:rPr>
              <w:t xml:space="preserve"> - </w:t>
            </w:r>
            <w:r w:rsidRPr="003122B1">
              <w:rPr>
                <w:rFonts w:cs="Arial"/>
                <w:sz w:val="20"/>
              </w:rPr>
              <w:t xml:space="preserve">huge emphasis on the hospital per se.  </w:t>
            </w:r>
            <w:r>
              <w:rPr>
                <w:rFonts w:cs="Arial"/>
                <w:sz w:val="20"/>
              </w:rPr>
              <w:t>T</w:t>
            </w:r>
            <w:r w:rsidRPr="003122B1">
              <w:rPr>
                <w:rFonts w:cs="Arial"/>
                <w:sz w:val="20"/>
              </w:rPr>
              <w:t xml:space="preserve">he greatest chance for change </w:t>
            </w:r>
            <w:r>
              <w:rPr>
                <w:rFonts w:cs="Arial"/>
                <w:sz w:val="20"/>
              </w:rPr>
              <w:t>is</w:t>
            </w:r>
            <w:r w:rsidRPr="003122B1">
              <w:rPr>
                <w:rFonts w:cs="Arial"/>
                <w:sz w:val="20"/>
              </w:rPr>
              <w:t xml:space="preserve"> in the community.  </w:t>
            </w:r>
            <w:r>
              <w:rPr>
                <w:rFonts w:cs="Arial"/>
                <w:sz w:val="20"/>
              </w:rPr>
              <w:t xml:space="preserve">This will require an increase in </w:t>
            </w:r>
            <w:r w:rsidRPr="003122B1">
              <w:rPr>
                <w:rFonts w:cs="Arial"/>
                <w:sz w:val="20"/>
              </w:rPr>
              <w:t xml:space="preserve">resources </w:t>
            </w:r>
            <w:r>
              <w:rPr>
                <w:rFonts w:cs="Arial"/>
                <w:sz w:val="20"/>
              </w:rPr>
              <w:t>to</w:t>
            </w:r>
            <w:r w:rsidRPr="003122B1">
              <w:rPr>
                <w:rFonts w:cs="Arial"/>
                <w:sz w:val="20"/>
              </w:rPr>
              <w:t xml:space="preserve"> the Provider network.  </w:t>
            </w:r>
            <w:r>
              <w:rPr>
                <w:rFonts w:cs="Arial"/>
                <w:sz w:val="20"/>
              </w:rPr>
              <w:t>M</w:t>
            </w:r>
            <w:r w:rsidRPr="003122B1">
              <w:rPr>
                <w:rFonts w:cs="Arial"/>
                <w:sz w:val="20"/>
              </w:rPr>
              <w:t xml:space="preserve">ore thought needs to be given to a Provider led strategy for greater coverage and better projected results.  </w:t>
            </w:r>
          </w:p>
          <w:p w:rsidR="009F2CEA" w:rsidRPr="003122B1" w:rsidRDefault="009F2CEA" w:rsidP="003A3131">
            <w:pPr>
              <w:pStyle w:val="ListParagraph"/>
              <w:numPr>
                <w:ilvl w:val="0"/>
                <w:numId w:val="18"/>
              </w:numPr>
              <w:tabs>
                <w:tab w:val="left" w:pos="567"/>
              </w:tabs>
              <w:ind w:left="352" w:hanging="352"/>
              <w:contextualSpacing w:val="0"/>
              <w:jc w:val="both"/>
              <w:outlineLvl w:val="0"/>
              <w:rPr>
                <w:rFonts w:cs="Arial"/>
                <w:sz w:val="20"/>
              </w:rPr>
            </w:pPr>
            <w:r>
              <w:rPr>
                <w:rFonts w:cs="Arial"/>
                <w:sz w:val="20"/>
              </w:rPr>
              <w:t>D</w:t>
            </w:r>
            <w:r w:rsidRPr="003122B1">
              <w:rPr>
                <w:rFonts w:cs="Arial"/>
                <w:sz w:val="20"/>
              </w:rPr>
              <w:t xml:space="preserve">esign is too top heavy.  More evidence is needed </w:t>
            </w:r>
            <w:r>
              <w:rPr>
                <w:rFonts w:cs="Arial"/>
                <w:sz w:val="20"/>
              </w:rPr>
              <w:t>for</w:t>
            </w:r>
            <w:r w:rsidRPr="003122B1">
              <w:rPr>
                <w:rFonts w:cs="Arial"/>
                <w:sz w:val="20"/>
              </w:rPr>
              <w:t xml:space="preserve"> a co-create co-design process in the plan with the consumer.</w:t>
            </w:r>
          </w:p>
          <w:p w:rsidR="009F2CEA" w:rsidRPr="003122B1" w:rsidRDefault="009F2CEA" w:rsidP="003A3131">
            <w:pPr>
              <w:pStyle w:val="ListParagraph"/>
              <w:numPr>
                <w:ilvl w:val="0"/>
                <w:numId w:val="18"/>
              </w:numPr>
              <w:tabs>
                <w:tab w:val="left" w:pos="567"/>
              </w:tabs>
              <w:ind w:left="352" w:hanging="352"/>
              <w:contextualSpacing w:val="0"/>
              <w:jc w:val="both"/>
              <w:rPr>
                <w:rFonts w:cs="Arial"/>
                <w:sz w:val="20"/>
              </w:rPr>
            </w:pPr>
            <w:r w:rsidRPr="003122B1">
              <w:rPr>
                <w:rFonts w:cs="Arial"/>
                <w:sz w:val="20"/>
              </w:rPr>
              <w:t xml:space="preserve">Cessation practices conducive to Whānau quitting.  With the high prevalence rate of smoking, encourages the efficacy of the cessation services that are commonly practiced with Whānau.  This could be a joint action group with the Ngāti Kahungunu Iwi Inc. </w:t>
            </w:r>
          </w:p>
          <w:p w:rsidR="009F2CEA" w:rsidRPr="003122B1" w:rsidRDefault="009F2CEA" w:rsidP="003A3131">
            <w:pPr>
              <w:pStyle w:val="ListParagraph"/>
              <w:numPr>
                <w:ilvl w:val="0"/>
                <w:numId w:val="18"/>
              </w:numPr>
              <w:tabs>
                <w:tab w:val="left" w:pos="567"/>
              </w:tabs>
              <w:ind w:left="352" w:hanging="352"/>
              <w:contextualSpacing w:val="0"/>
              <w:jc w:val="both"/>
              <w:rPr>
                <w:rFonts w:cs="Arial"/>
                <w:sz w:val="20"/>
              </w:rPr>
            </w:pPr>
            <w:r w:rsidRPr="003122B1">
              <w:rPr>
                <w:rFonts w:cs="Arial"/>
                <w:sz w:val="20"/>
              </w:rPr>
              <w:lastRenderedPageBreak/>
              <w:t xml:space="preserve">Target the Chamber of Commerce to get support.  </w:t>
            </w:r>
          </w:p>
          <w:p w:rsidR="009F2CEA" w:rsidRPr="003122B1" w:rsidRDefault="009F2CEA" w:rsidP="003A3131">
            <w:pPr>
              <w:pStyle w:val="ListParagraph"/>
              <w:numPr>
                <w:ilvl w:val="0"/>
                <w:numId w:val="18"/>
              </w:numPr>
              <w:tabs>
                <w:tab w:val="left" w:pos="567"/>
              </w:tabs>
              <w:ind w:left="352" w:hanging="352"/>
              <w:contextualSpacing w:val="0"/>
              <w:jc w:val="both"/>
              <w:rPr>
                <w:bCs/>
                <w:sz w:val="20"/>
              </w:rPr>
            </w:pPr>
            <w:r>
              <w:rPr>
                <w:rFonts w:cs="Arial"/>
                <w:sz w:val="20"/>
              </w:rPr>
              <w:t>S</w:t>
            </w:r>
            <w:r w:rsidRPr="003122B1">
              <w:rPr>
                <w:rFonts w:cs="Arial"/>
                <w:sz w:val="20"/>
              </w:rPr>
              <w:t xml:space="preserve">moking </w:t>
            </w:r>
            <w:r>
              <w:rPr>
                <w:rFonts w:cs="Arial"/>
                <w:sz w:val="20"/>
              </w:rPr>
              <w:t>i</w:t>
            </w:r>
            <w:r w:rsidRPr="003122B1">
              <w:rPr>
                <w:rFonts w:cs="Arial"/>
                <w:sz w:val="20"/>
              </w:rPr>
              <w:t>s a result of people needing their own space as they were disenfranchised out of health and employment.  The only space to call their own w</w:t>
            </w:r>
            <w:r>
              <w:rPr>
                <w:rFonts w:cs="Arial"/>
                <w:sz w:val="20"/>
              </w:rPr>
              <w:t>as when they went for a smoke.  Reason why the</w:t>
            </w:r>
            <w:r w:rsidRPr="003122B1">
              <w:rPr>
                <w:rFonts w:cs="Arial"/>
                <w:sz w:val="20"/>
              </w:rPr>
              <w:t xml:space="preserve"> highest proportion</w:t>
            </w:r>
            <w:r>
              <w:rPr>
                <w:rFonts w:cs="Arial"/>
                <w:sz w:val="20"/>
              </w:rPr>
              <w:t xml:space="preserve"> of smokers are</w:t>
            </w:r>
            <w:r w:rsidRPr="003122B1">
              <w:rPr>
                <w:rFonts w:cs="Arial"/>
                <w:sz w:val="20"/>
              </w:rPr>
              <w:t xml:space="preserve"> Māori women who are most deprived of all their statuses.  </w:t>
            </w:r>
          </w:p>
        </w:tc>
        <w:tc>
          <w:tcPr>
            <w:tcW w:w="3306" w:type="dxa"/>
          </w:tcPr>
          <w:p w:rsidR="00E22473" w:rsidRPr="00183449" w:rsidRDefault="00E22473" w:rsidP="00E22473">
            <w:pPr>
              <w:autoSpaceDE w:val="0"/>
              <w:autoSpaceDN w:val="0"/>
              <w:adjustRightInd w:val="0"/>
              <w:jc w:val="both"/>
              <w:rPr>
                <w:rFonts w:cs="Arial"/>
                <w:bCs/>
                <w:sz w:val="20"/>
                <w:lang w:eastAsia="en-NZ"/>
              </w:rPr>
            </w:pPr>
            <w:r w:rsidRPr="00183449">
              <w:rPr>
                <w:bCs/>
                <w:sz w:val="20"/>
              </w:rPr>
              <w:lastRenderedPageBreak/>
              <w:t xml:space="preserve">DHB Board endorsed the Tobacco Control 5 year strategy agreeing that innovative concepts to support </w:t>
            </w:r>
            <w:r w:rsidR="00183449">
              <w:rPr>
                <w:bCs/>
                <w:sz w:val="20"/>
              </w:rPr>
              <w:t>whānau</w:t>
            </w:r>
            <w:r w:rsidRPr="00183449">
              <w:rPr>
                <w:bCs/>
                <w:sz w:val="20"/>
              </w:rPr>
              <w:t xml:space="preserve"> to be Smokefree is vital.  In addition Provider</w:t>
            </w:r>
            <w:r w:rsidR="00382737" w:rsidRPr="00183449">
              <w:rPr>
                <w:bCs/>
                <w:sz w:val="20"/>
              </w:rPr>
              <w:t>s</w:t>
            </w:r>
            <w:r w:rsidRPr="00183449">
              <w:rPr>
                <w:bCs/>
                <w:sz w:val="20"/>
              </w:rPr>
              <w:t xml:space="preserve"> engaged and participated in the development of the strategy and are working in partnership to realign smoking cessation services. This partnership is currently creating an RFP to table to MOH on the 10</w:t>
            </w:r>
            <w:r w:rsidRPr="00183449">
              <w:rPr>
                <w:bCs/>
                <w:sz w:val="20"/>
                <w:vertAlign w:val="superscript"/>
              </w:rPr>
              <w:t>th</w:t>
            </w:r>
            <w:r w:rsidRPr="00183449">
              <w:rPr>
                <w:bCs/>
                <w:sz w:val="20"/>
              </w:rPr>
              <w:t xml:space="preserve"> February. </w:t>
            </w:r>
            <w:r w:rsidR="00382737" w:rsidRPr="00183449">
              <w:rPr>
                <w:bCs/>
                <w:sz w:val="20"/>
              </w:rPr>
              <w:t xml:space="preserve">The intention is that providers will collaborate more strongly as a result.  </w:t>
            </w:r>
          </w:p>
          <w:p w:rsidR="00E22473" w:rsidRPr="00183449" w:rsidRDefault="00E22473" w:rsidP="00E22473">
            <w:pPr>
              <w:pStyle w:val="Default"/>
              <w:jc w:val="center"/>
              <w:rPr>
                <w:bCs/>
                <w:color w:val="auto"/>
                <w:sz w:val="20"/>
                <w:szCs w:val="20"/>
              </w:rPr>
            </w:pPr>
          </w:p>
          <w:p w:rsidR="00E22473" w:rsidRPr="00183449" w:rsidRDefault="00E22473" w:rsidP="00E22473">
            <w:pPr>
              <w:pStyle w:val="Default"/>
              <w:jc w:val="both"/>
              <w:rPr>
                <w:bCs/>
                <w:color w:val="auto"/>
                <w:sz w:val="20"/>
                <w:szCs w:val="20"/>
              </w:rPr>
            </w:pPr>
            <w:r w:rsidRPr="00183449">
              <w:rPr>
                <w:bCs/>
                <w:color w:val="auto"/>
                <w:sz w:val="20"/>
                <w:szCs w:val="20"/>
              </w:rPr>
              <w:t xml:space="preserve">The HBDHB are working with </w:t>
            </w:r>
            <w:r w:rsidR="00183449">
              <w:rPr>
                <w:bCs/>
                <w:color w:val="auto"/>
                <w:sz w:val="20"/>
                <w:szCs w:val="20"/>
              </w:rPr>
              <w:t>Ngāti</w:t>
            </w:r>
            <w:r w:rsidRPr="00183449">
              <w:rPr>
                <w:bCs/>
                <w:color w:val="auto"/>
                <w:sz w:val="20"/>
                <w:szCs w:val="20"/>
              </w:rPr>
              <w:t xml:space="preserve"> Kahu</w:t>
            </w:r>
            <w:r w:rsidR="006C3675" w:rsidRPr="00183449">
              <w:rPr>
                <w:bCs/>
                <w:color w:val="auto"/>
                <w:sz w:val="20"/>
                <w:szCs w:val="20"/>
              </w:rPr>
              <w:t>ngu</w:t>
            </w:r>
            <w:r w:rsidRPr="00183449">
              <w:rPr>
                <w:bCs/>
                <w:color w:val="auto"/>
                <w:sz w:val="20"/>
                <w:szCs w:val="20"/>
              </w:rPr>
              <w:t xml:space="preserve">nu Iwi developing healthier messages for this 2016 Waitangi Day.  This years Waitangi Day celebrations is preparing us for Matatini in 2017. There are strong Smokefree messages and interactive activities planned. </w:t>
            </w:r>
          </w:p>
          <w:p w:rsidR="00E22473" w:rsidRPr="00183449" w:rsidRDefault="00E22473" w:rsidP="00E22473">
            <w:pPr>
              <w:pStyle w:val="Default"/>
              <w:jc w:val="both"/>
              <w:rPr>
                <w:bCs/>
                <w:color w:val="auto"/>
                <w:sz w:val="20"/>
                <w:szCs w:val="20"/>
              </w:rPr>
            </w:pPr>
          </w:p>
          <w:p w:rsidR="00E22473" w:rsidRPr="00183449" w:rsidRDefault="00E22473" w:rsidP="00E22473">
            <w:pPr>
              <w:pStyle w:val="Default"/>
              <w:jc w:val="both"/>
              <w:rPr>
                <w:bCs/>
                <w:color w:val="auto"/>
                <w:sz w:val="20"/>
                <w:szCs w:val="20"/>
              </w:rPr>
            </w:pPr>
            <w:r w:rsidRPr="00183449">
              <w:rPr>
                <w:bCs/>
                <w:color w:val="auto"/>
                <w:sz w:val="20"/>
                <w:szCs w:val="20"/>
              </w:rPr>
              <w:t xml:space="preserve">Consumer engagement is a function of the new Smokefree </w:t>
            </w:r>
            <w:r w:rsidR="00183449">
              <w:rPr>
                <w:bCs/>
                <w:color w:val="auto"/>
                <w:sz w:val="20"/>
                <w:szCs w:val="20"/>
              </w:rPr>
              <w:t>Māori</w:t>
            </w:r>
            <w:r w:rsidRPr="00183449">
              <w:rPr>
                <w:bCs/>
                <w:color w:val="auto"/>
                <w:sz w:val="20"/>
                <w:szCs w:val="20"/>
              </w:rPr>
              <w:t xml:space="preserve"> Support Worker role within the Smokefree Team.  We hope to utilise the feedback received to make changes to services and inform planning.</w:t>
            </w:r>
          </w:p>
          <w:p w:rsidR="00B368A9" w:rsidRPr="00183449" w:rsidRDefault="00B368A9" w:rsidP="003A3131">
            <w:pPr>
              <w:pStyle w:val="Default"/>
              <w:jc w:val="both"/>
              <w:rPr>
                <w:bCs/>
                <w:color w:val="auto"/>
                <w:sz w:val="20"/>
                <w:szCs w:val="20"/>
              </w:rPr>
            </w:pPr>
          </w:p>
          <w:p w:rsidR="00B368A9" w:rsidRPr="00183449" w:rsidRDefault="00B368A9" w:rsidP="00B368A9">
            <w:pPr>
              <w:pStyle w:val="Default"/>
              <w:jc w:val="both"/>
              <w:rPr>
                <w:bCs/>
                <w:color w:val="auto"/>
                <w:sz w:val="20"/>
                <w:szCs w:val="20"/>
                <w:lang w:val="mi-NZ"/>
              </w:rPr>
            </w:pPr>
          </w:p>
        </w:tc>
      </w:tr>
    </w:tbl>
    <w:p w:rsidR="009F2CEA" w:rsidRDefault="009F2CEA" w:rsidP="009F2CEA"/>
    <w:tbl>
      <w:tblPr>
        <w:tblStyle w:val="TableGrid"/>
        <w:tblW w:w="0" w:type="auto"/>
        <w:tblLook w:val="04A0" w:firstRow="1" w:lastRow="0" w:firstColumn="1" w:lastColumn="0" w:noHBand="0" w:noVBand="1"/>
      </w:tblPr>
      <w:tblGrid>
        <w:gridCol w:w="2798"/>
        <w:gridCol w:w="3525"/>
        <w:gridCol w:w="3306"/>
      </w:tblGrid>
      <w:tr w:rsidR="009F2CEA" w:rsidRPr="005E564F" w:rsidTr="003A3131">
        <w:tc>
          <w:tcPr>
            <w:tcW w:w="2798"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August</w:t>
            </w:r>
          </w:p>
        </w:tc>
        <w:tc>
          <w:tcPr>
            <w:tcW w:w="3525"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MRB</w:t>
            </w:r>
          </w:p>
        </w:tc>
        <w:tc>
          <w:tcPr>
            <w:tcW w:w="3306" w:type="dxa"/>
            <w:shd w:val="clear" w:color="auto" w:fill="D9D9D9" w:themeFill="background1" w:themeFillShade="D9"/>
          </w:tcPr>
          <w:p w:rsidR="009F2CEA" w:rsidRPr="005E564F" w:rsidRDefault="0053209F" w:rsidP="003A3131">
            <w:pPr>
              <w:pStyle w:val="Default"/>
              <w:jc w:val="both"/>
              <w:rPr>
                <w:b/>
                <w:bCs/>
                <w:sz w:val="22"/>
                <w:szCs w:val="22"/>
              </w:rPr>
            </w:pPr>
            <w:r>
              <w:rPr>
                <w:b/>
                <w:bCs/>
                <w:sz w:val="22"/>
                <w:szCs w:val="22"/>
              </w:rPr>
              <w:t>Impact</w:t>
            </w:r>
          </w:p>
        </w:tc>
      </w:tr>
      <w:tr w:rsidR="009F2CEA" w:rsidRPr="0065255D" w:rsidTr="003A3131">
        <w:tc>
          <w:tcPr>
            <w:tcW w:w="2798" w:type="dxa"/>
          </w:tcPr>
          <w:p w:rsidR="009F2CEA" w:rsidRPr="0065255D" w:rsidRDefault="009F2CEA" w:rsidP="003A3131">
            <w:pPr>
              <w:pStyle w:val="Default"/>
              <w:jc w:val="both"/>
              <w:rPr>
                <w:bCs/>
                <w:sz w:val="20"/>
                <w:szCs w:val="20"/>
              </w:rPr>
            </w:pPr>
            <w:r>
              <w:rPr>
                <w:bCs/>
                <w:sz w:val="20"/>
                <w:szCs w:val="20"/>
              </w:rPr>
              <w:t>Suicide Prevention Plan</w:t>
            </w:r>
          </w:p>
        </w:tc>
        <w:tc>
          <w:tcPr>
            <w:tcW w:w="3525" w:type="dxa"/>
          </w:tcPr>
          <w:p w:rsidR="009F2CEA" w:rsidRDefault="00B368A9" w:rsidP="003A3131">
            <w:pPr>
              <w:pStyle w:val="Default"/>
              <w:jc w:val="both"/>
              <w:rPr>
                <w:bCs/>
                <w:sz w:val="20"/>
                <w:szCs w:val="20"/>
              </w:rPr>
            </w:pPr>
            <w:r>
              <w:rPr>
                <w:bCs/>
                <w:sz w:val="20"/>
                <w:szCs w:val="20"/>
              </w:rPr>
              <w:t>MRB endorsed the plan and provided the following a</w:t>
            </w:r>
            <w:r w:rsidR="009F2CEA">
              <w:rPr>
                <w:bCs/>
                <w:sz w:val="20"/>
                <w:szCs w:val="20"/>
              </w:rPr>
              <w:t>dvice:</w:t>
            </w:r>
          </w:p>
          <w:p w:rsidR="009F2CEA" w:rsidRDefault="009F2CEA" w:rsidP="003A3131">
            <w:pPr>
              <w:pStyle w:val="Default"/>
              <w:numPr>
                <w:ilvl w:val="0"/>
                <w:numId w:val="16"/>
              </w:numPr>
              <w:ind w:left="350" w:hanging="284"/>
              <w:jc w:val="both"/>
              <w:rPr>
                <w:bCs/>
                <w:sz w:val="20"/>
                <w:szCs w:val="20"/>
              </w:rPr>
            </w:pPr>
            <w:r>
              <w:rPr>
                <w:bCs/>
                <w:sz w:val="20"/>
                <w:szCs w:val="20"/>
              </w:rPr>
              <w:t>DHB to provide more intervention training for communities</w:t>
            </w:r>
          </w:p>
          <w:p w:rsidR="009F2CEA" w:rsidRDefault="009F2CEA" w:rsidP="003A3131">
            <w:pPr>
              <w:pStyle w:val="Default"/>
              <w:numPr>
                <w:ilvl w:val="0"/>
                <w:numId w:val="16"/>
              </w:numPr>
              <w:ind w:left="350" w:hanging="284"/>
              <w:jc w:val="both"/>
              <w:rPr>
                <w:bCs/>
                <w:sz w:val="20"/>
                <w:szCs w:val="20"/>
              </w:rPr>
            </w:pPr>
            <w:r>
              <w:rPr>
                <w:bCs/>
                <w:sz w:val="20"/>
                <w:szCs w:val="20"/>
              </w:rPr>
              <w:t>Plan to have more of a whānau engagement process and inclusion.</w:t>
            </w:r>
          </w:p>
          <w:p w:rsidR="009F2CEA" w:rsidRDefault="009F2CEA" w:rsidP="003A3131">
            <w:pPr>
              <w:pStyle w:val="Default"/>
              <w:numPr>
                <w:ilvl w:val="0"/>
                <w:numId w:val="16"/>
              </w:numPr>
              <w:ind w:left="350" w:hanging="284"/>
              <w:jc w:val="both"/>
              <w:rPr>
                <w:bCs/>
                <w:sz w:val="20"/>
                <w:szCs w:val="20"/>
              </w:rPr>
            </w:pPr>
            <w:r>
              <w:rPr>
                <w:bCs/>
                <w:sz w:val="20"/>
                <w:szCs w:val="20"/>
              </w:rPr>
              <w:t>Include a cultural response as well as clinical.</w:t>
            </w:r>
          </w:p>
          <w:p w:rsidR="009F2CEA" w:rsidRDefault="009F2CEA" w:rsidP="003A3131">
            <w:pPr>
              <w:pStyle w:val="Default"/>
              <w:numPr>
                <w:ilvl w:val="0"/>
                <w:numId w:val="16"/>
              </w:numPr>
              <w:ind w:left="350" w:hanging="284"/>
              <w:jc w:val="both"/>
              <w:rPr>
                <w:bCs/>
                <w:sz w:val="20"/>
                <w:szCs w:val="20"/>
              </w:rPr>
            </w:pPr>
            <w:r>
              <w:rPr>
                <w:bCs/>
                <w:sz w:val="20"/>
                <w:szCs w:val="20"/>
              </w:rPr>
              <w:t>Increase Rangatahi involvement and upskilling.</w:t>
            </w:r>
          </w:p>
          <w:p w:rsidR="009F2CEA" w:rsidRDefault="009F2CEA" w:rsidP="003A3131">
            <w:pPr>
              <w:pStyle w:val="Default"/>
              <w:numPr>
                <w:ilvl w:val="0"/>
                <w:numId w:val="16"/>
              </w:numPr>
              <w:ind w:left="350" w:hanging="284"/>
              <w:jc w:val="both"/>
              <w:rPr>
                <w:bCs/>
                <w:sz w:val="20"/>
                <w:szCs w:val="20"/>
              </w:rPr>
            </w:pPr>
            <w:r>
              <w:rPr>
                <w:bCs/>
                <w:sz w:val="20"/>
                <w:szCs w:val="20"/>
              </w:rPr>
              <w:t>DHB to make drugs substance abuse a priority.</w:t>
            </w:r>
          </w:p>
          <w:p w:rsidR="009F2CEA" w:rsidRDefault="009F2CEA" w:rsidP="003A3131">
            <w:pPr>
              <w:pStyle w:val="Default"/>
              <w:numPr>
                <w:ilvl w:val="0"/>
                <w:numId w:val="16"/>
              </w:numPr>
              <w:ind w:left="350" w:hanging="284"/>
              <w:jc w:val="both"/>
              <w:rPr>
                <w:bCs/>
                <w:sz w:val="20"/>
                <w:szCs w:val="20"/>
              </w:rPr>
            </w:pPr>
            <w:r>
              <w:rPr>
                <w:bCs/>
                <w:sz w:val="20"/>
                <w:szCs w:val="20"/>
              </w:rPr>
              <w:t>Build community resilience through building community leadership</w:t>
            </w:r>
          </w:p>
          <w:p w:rsidR="009F2CEA" w:rsidRPr="00B13C62" w:rsidRDefault="009F2CEA" w:rsidP="00B368A9">
            <w:pPr>
              <w:pStyle w:val="Default"/>
              <w:numPr>
                <w:ilvl w:val="0"/>
                <w:numId w:val="16"/>
              </w:numPr>
              <w:ind w:left="350" w:hanging="284"/>
              <w:jc w:val="both"/>
              <w:rPr>
                <w:bCs/>
                <w:sz w:val="20"/>
                <w:szCs w:val="20"/>
              </w:rPr>
            </w:pPr>
            <w:r>
              <w:rPr>
                <w:bCs/>
                <w:sz w:val="20"/>
                <w:szCs w:val="20"/>
              </w:rPr>
              <w:t>With relationship breakdowns a key trigger, how can the DHB support his issue?</w:t>
            </w:r>
          </w:p>
        </w:tc>
        <w:tc>
          <w:tcPr>
            <w:tcW w:w="3306" w:type="dxa"/>
          </w:tcPr>
          <w:p w:rsidR="00E22473" w:rsidRPr="00183449" w:rsidRDefault="00183449" w:rsidP="00E22473">
            <w:pPr>
              <w:autoSpaceDE w:val="0"/>
              <w:autoSpaceDN w:val="0"/>
              <w:adjustRightInd w:val="0"/>
              <w:jc w:val="both"/>
              <w:rPr>
                <w:rFonts w:cs="Arial"/>
                <w:bCs/>
                <w:sz w:val="20"/>
              </w:rPr>
            </w:pPr>
            <w:r w:rsidRPr="00183449">
              <w:rPr>
                <w:rFonts w:cs="Arial"/>
                <w:bCs/>
                <w:sz w:val="20"/>
              </w:rPr>
              <w:t>Three</w:t>
            </w:r>
            <w:r w:rsidR="00E22473" w:rsidRPr="00183449">
              <w:rPr>
                <w:rFonts w:cs="Arial"/>
                <w:bCs/>
                <w:sz w:val="20"/>
              </w:rPr>
              <w:t xml:space="preserve"> face to face QPR Gatekeeper Trainings have taken place in Flaxmere, Central Hawkes Bay and Wairoa.  A total </w:t>
            </w:r>
            <w:r w:rsidR="00BD44A1" w:rsidRPr="00183449">
              <w:rPr>
                <w:rFonts w:cs="Arial"/>
                <w:bCs/>
                <w:sz w:val="20"/>
              </w:rPr>
              <w:t>of 57</w:t>
            </w:r>
            <w:r w:rsidR="00E22473" w:rsidRPr="00183449">
              <w:rPr>
                <w:rFonts w:cs="Arial"/>
                <w:bCs/>
                <w:sz w:val="20"/>
              </w:rPr>
              <w:t xml:space="preserve"> people attended (51 submitting evaluations).  44 stated that the overall programme was above average or outstanding.</w:t>
            </w:r>
          </w:p>
          <w:p w:rsidR="00E22473" w:rsidRPr="00183449" w:rsidRDefault="00E22473" w:rsidP="00E22473">
            <w:pPr>
              <w:autoSpaceDE w:val="0"/>
              <w:autoSpaceDN w:val="0"/>
              <w:adjustRightInd w:val="0"/>
              <w:jc w:val="both"/>
              <w:rPr>
                <w:rFonts w:cs="Arial"/>
                <w:bCs/>
                <w:sz w:val="20"/>
              </w:rPr>
            </w:pPr>
          </w:p>
          <w:p w:rsidR="00E22473" w:rsidRPr="00183449" w:rsidRDefault="00E22473" w:rsidP="00E22473">
            <w:pPr>
              <w:autoSpaceDE w:val="0"/>
              <w:autoSpaceDN w:val="0"/>
              <w:adjustRightInd w:val="0"/>
              <w:jc w:val="both"/>
              <w:rPr>
                <w:rFonts w:cs="Arial"/>
                <w:bCs/>
                <w:sz w:val="20"/>
              </w:rPr>
            </w:pPr>
            <w:r w:rsidRPr="00183449">
              <w:rPr>
                <w:rFonts w:cs="Arial"/>
                <w:bCs/>
                <w:sz w:val="20"/>
              </w:rPr>
              <w:t xml:space="preserve">The HBDHB have been involved in the </w:t>
            </w:r>
            <w:r w:rsidR="00BD44A1" w:rsidRPr="00183449">
              <w:rPr>
                <w:rFonts w:cs="Arial"/>
                <w:bCs/>
                <w:sz w:val="20"/>
              </w:rPr>
              <w:t>coroner’s</w:t>
            </w:r>
            <w:r w:rsidRPr="00183449">
              <w:rPr>
                <w:rFonts w:cs="Arial"/>
                <w:bCs/>
                <w:sz w:val="20"/>
              </w:rPr>
              <w:t xml:space="preserve"> inquest and had the opportunity to sit with </w:t>
            </w:r>
            <w:r w:rsidR="00183449">
              <w:rPr>
                <w:rFonts w:cs="Arial"/>
                <w:bCs/>
                <w:sz w:val="20"/>
              </w:rPr>
              <w:t>whānau</w:t>
            </w:r>
            <w:r w:rsidRPr="00183449">
              <w:rPr>
                <w:rFonts w:cs="Arial"/>
                <w:bCs/>
                <w:sz w:val="20"/>
              </w:rPr>
              <w:t xml:space="preserve"> to hear what they thought may help </w:t>
            </w:r>
            <w:r w:rsidR="00183449">
              <w:rPr>
                <w:rFonts w:cs="Arial"/>
                <w:bCs/>
                <w:sz w:val="20"/>
              </w:rPr>
              <w:t>whānau</w:t>
            </w:r>
            <w:r w:rsidRPr="00183449">
              <w:rPr>
                <w:rFonts w:cs="Arial"/>
                <w:bCs/>
                <w:sz w:val="20"/>
              </w:rPr>
              <w:t xml:space="preserve"> engage with each other and minimise the risk for rangatahi.  </w:t>
            </w:r>
          </w:p>
          <w:p w:rsidR="00E22473" w:rsidRPr="00183449" w:rsidRDefault="00E22473" w:rsidP="00E22473">
            <w:pPr>
              <w:autoSpaceDE w:val="0"/>
              <w:autoSpaceDN w:val="0"/>
              <w:adjustRightInd w:val="0"/>
              <w:jc w:val="both"/>
              <w:rPr>
                <w:rFonts w:cs="Arial"/>
                <w:bCs/>
                <w:sz w:val="20"/>
              </w:rPr>
            </w:pPr>
          </w:p>
          <w:p w:rsidR="00E22473" w:rsidRPr="00183449" w:rsidRDefault="00E22473" w:rsidP="00E22473">
            <w:pPr>
              <w:autoSpaceDE w:val="0"/>
              <w:autoSpaceDN w:val="0"/>
              <w:adjustRightInd w:val="0"/>
              <w:jc w:val="both"/>
              <w:rPr>
                <w:rFonts w:cs="Arial"/>
                <w:bCs/>
                <w:sz w:val="20"/>
              </w:rPr>
            </w:pPr>
            <w:r w:rsidRPr="00183449">
              <w:rPr>
                <w:rFonts w:cs="Arial"/>
                <w:bCs/>
                <w:sz w:val="20"/>
              </w:rPr>
              <w:t xml:space="preserve">The support model </w:t>
            </w:r>
            <w:r w:rsidR="006C3675" w:rsidRPr="00183449">
              <w:rPr>
                <w:rFonts w:cs="Arial"/>
                <w:bCs/>
                <w:sz w:val="20"/>
              </w:rPr>
              <w:t>has</w:t>
            </w:r>
            <w:r w:rsidRPr="00183449">
              <w:rPr>
                <w:rFonts w:cs="Arial"/>
                <w:bCs/>
                <w:sz w:val="20"/>
              </w:rPr>
              <w:t xml:space="preserve"> a strong cultural and clinical </w:t>
            </w:r>
            <w:r w:rsidR="006C3675" w:rsidRPr="00183449">
              <w:rPr>
                <w:rFonts w:cs="Arial"/>
                <w:bCs/>
                <w:sz w:val="20"/>
              </w:rPr>
              <w:t xml:space="preserve">approach.  The membership reflects their cultural competency </w:t>
            </w:r>
          </w:p>
          <w:p w:rsidR="006C3675" w:rsidRPr="00183449" w:rsidRDefault="006C3675" w:rsidP="00E22473">
            <w:pPr>
              <w:autoSpaceDE w:val="0"/>
              <w:autoSpaceDN w:val="0"/>
              <w:adjustRightInd w:val="0"/>
              <w:jc w:val="both"/>
              <w:rPr>
                <w:rFonts w:cs="Arial"/>
                <w:bCs/>
                <w:sz w:val="20"/>
              </w:rPr>
            </w:pPr>
          </w:p>
          <w:p w:rsidR="009F2CEA" w:rsidRPr="00183449" w:rsidRDefault="00E22473" w:rsidP="006C3675">
            <w:pPr>
              <w:autoSpaceDE w:val="0"/>
              <w:autoSpaceDN w:val="0"/>
              <w:adjustRightInd w:val="0"/>
              <w:jc w:val="both"/>
              <w:rPr>
                <w:rFonts w:cs="Arial"/>
                <w:bCs/>
                <w:sz w:val="20"/>
              </w:rPr>
            </w:pPr>
            <w:r w:rsidRPr="00183449">
              <w:rPr>
                <w:rFonts w:cs="Arial"/>
                <w:bCs/>
                <w:sz w:val="20"/>
              </w:rPr>
              <w:t>There are various community driven suicide prevention activities</w:t>
            </w:r>
            <w:r w:rsidR="006C3675" w:rsidRPr="00183449">
              <w:rPr>
                <w:rFonts w:cs="Arial"/>
                <w:bCs/>
                <w:sz w:val="20"/>
              </w:rPr>
              <w:t>.</w:t>
            </w:r>
            <w:r w:rsidRPr="00183449">
              <w:rPr>
                <w:rFonts w:cs="Arial"/>
                <w:bCs/>
                <w:sz w:val="20"/>
              </w:rPr>
              <w:t xml:space="preserve"> Examples of</w:t>
            </w:r>
            <w:r w:rsidR="006C3675" w:rsidRPr="00183449">
              <w:rPr>
                <w:rFonts w:cs="Arial"/>
                <w:bCs/>
                <w:sz w:val="20"/>
              </w:rPr>
              <w:t xml:space="preserve"> these </w:t>
            </w:r>
            <w:r w:rsidRPr="00183449">
              <w:rPr>
                <w:rFonts w:cs="Arial"/>
                <w:bCs/>
                <w:sz w:val="20"/>
              </w:rPr>
              <w:t>are HOPE – Hold On Pain Ends</w:t>
            </w:r>
            <w:r w:rsidR="00BD44A1" w:rsidRPr="00183449">
              <w:rPr>
                <w:rFonts w:cs="Arial"/>
                <w:bCs/>
                <w:sz w:val="20"/>
              </w:rPr>
              <w:t>, Fight</w:t>
            </w:r>
            <w:r w:rsidRPr="00183449">
              <w:rPr>
                <w:rFonts w:cs="Arial"/>
                <w:bCs/>
                <w:sz w:val="20"/>
              </w:rPr>
              <w:t xml:space="preserve"> for life running under Anahera o Te Rangi</w:t>
            </w:r>
            <w:r w:rsidR="00BD44A1" w:rsidRPr="00183449">
              <w:rPr>
                <w:rFonts w:cs="Arial"/>
                <w:bCs/>
                <w:sz w:val="20"/>
              </w:rPr>
              <w:t>, Talk</w:t>
            </w:r>
            <w:r w:rsidRPr="00183449">
              <w:rPr>
                <w:rFonts w:cs="Arial"/>
                <w:bCs/>
                <w:sz w:val="20"/>
              </w:rPr>
              <w:t xml:space="preserve"> to Us – Flaxmere Community Group, MATES in Farming.  All assisting with building resiliency in those communities.</w:t>
            </w:r>
          </w:p>
        </w:tc>
      </w:tr>
      <w:tr w:rsidR="009F2CEA" w:rsidRPr="0065255D" w:rsidTr="003A3131">
        <w:tc>
          <w:tcPr>
            <w:tcW w:w="2798" w:type="dxa"/>
          </w:tcPr>
          <w:p w:rsidR="009F2CEA" w:rsidRDefault="009F2CEA" w:rsidP="003A3131">
            <w:pPr>
              <w:pStyle w:val="Default"/>
              <w:jc w:val="both"/>
              <w:rPr>
                <w:bCs/>
                <w:sz w:val="20"/>
                <w:szCs w:val="20"/>
              </w:rPr>
            </w:pPr>
            <w:r>
              <w:rPr>
                <w:bCs/>
                <w:sz w:val="20"/>
                <w:szCs w:val="20"/>
              </w:rPr>
              <w:t xml:space="preserve">Quarterly Reporting against the Annual </w:t>
            </w:r>
            <w:r w:rsidR="00183449">
              <w:rPr>
                <w:bCs/>
                <w:sz w:val="20"/>
                <w:szCs w:val="20"/>
              </w:rPr>
              <w:t>Māori</w:t>
            </w:r>
            <w:r>
              <w:rPr>
                <w:bCs/>
                <w:sz w:val="20"/>
                <w:szCs w:val="20"/>
              </w:rPr>
              <w:t xml:space="preserve"> Health Plan</w:t>
            </w:r>
          </w:p>
        </w:tc>
        <w:tc>
          <w:tcPr>
            <w:tcW w:w="3525" w:type="dxa"/>
          </w:tcPr>
          <w:p w:rsidR="009F2CEA" w:rsidRDefault="009F2CEA" w:rsidP="003A3131">
            <w:pPr>
              <w:pStyle w:val="Default"/>
              <w:jc w:val="both"/>
              <w:rPr>
                <w:bCs/>
                <w:sz w:val="20"/>
                <w:szCs w:val="20"/>
              </w:rPr>
            </w:pPr>
            <w:r>
              <w:rPr>
                <w:bCs/>
                <w:sz w:val="20"/>
                <w:szCs w:val="20"/>
              </w:rPr>
              <w:t>Align with Board quarterly reporting.</w:t>
            </w:r>
          </w:p>
          <w:p w:rsidR="009F2CEA" w:rsidRDefault="009F2CEA" w:rsidP="003A3131">
            <w:pPr>
              <w:pStyle w:val="Default"/>
              <w:jc w:val="both"/>
              <w:rPr>
                <w:bCs/>
                <w:sz w:val="20"/>
                <w:szCs w:val="20"/>
              </w:rPr>
            </w:pPr>
          </w:p>
          <w:p w:rsidR="009F2CEA" w:rsidRDefault="009F2CEA" w:rsidP="003A3131">
            <w:pPr>
              <w:pStyle w:val="Default"/>
              <w:jc w:val="both"/>
              <w:rPr>
                <w:bCs/>
                <w:sz w:val="20"/>
                <w:szCs w:val="20"/>
              </w:rPr>
            </w:pPr>
            <w:r>
              <w:rPr>
                <w:bCs/>
                <w:sz w:val="20"/>
                <w:szCs w:val="20"/>
              </w:rPr>
              <w:t>CEO write to the MoH to request quarterly Plunket data and any other indicator data where it is not provided in a timely fashion.</w:t>
            </w:r>
          </w:p>
        </w:tc>
        <w:tc>
          <w:tcPr>
            <w:tcW w:w="3306" w:type="dxa"/>
          </w:tcPr>
          <w:p w:rsidR="009F2CEA" w:rsidRDefault="009F2CEA" w:rsidP="003A3131">
            <w:pPr>
              <w:pStyle w:val="Default"/>
              <w:jc w:val="both"/>
              <w:rPr>
                <w:bCs/>
                <w:sz w:val="20"/>
                <w:szCs w:val="20"/>
              </w:rPr>
            </w:pPr>
            <w:r>
              <w:rPr>
                <w:bCs/>
                <w:sz w:val="20"/>
                <w:szCs w:val="20"/>
              </w:rPr>
              <w:t>Board approved letter by the CEO sent to the Ministry.</w:t>
            </w:r>
          </w:p>
          <w:p w:rsidR="00CA6100" w:rsidRDefault="00CA6100" w:rsidP="003A3131">
            <w:pPr>
              <w:pStyle w:val="Default"/>
              <w:jc w:val="both"/>
              <w:rPr>
                <w:bCs/>
                <w:sz w:val="20"/>
                <w:szCs w:val="20"/>
              </w:rPr>
            </w:pPr>
          </w:p>
          <w:p w:rsidR="00A75BCE" w:rsidRDefault="00A75BCE" w:rsidP="003A3131">
            <w:pPr>
              <w:pStyle w:val="Default"/>
              <w:jc w:val="both"/>
              <w:rPr>
                <w:bCs/>
                <w:sz w:val="20"/>
                <w:szCs w:val="20"/>
              </w:rPr>
            </w:pPr>
            <w:r>
              <w:rPr>
                <w:bCs/>
                <w:sz w:val="20"/>
                <w:szCs w:val="20"/>
              </w:rPr>
              <w:t xml:space="preserve">Plunket data </w:t>
            </w:r>
            <w:r w:rsidR="00B368A9">
              <w:rPr>
                <w:bCs/>
                <w:sz w:val="20"/>
                <w:szCs w:val="20"/>
              </w:rPr>
              <w:t xml:space="preserve">is </w:t>
            </w:r>
            <w:r>
              <w:rPr>
                <w:bCs/>
                <w:sz w:val="20"/>
                <w:szCs w:val="20"/>
              </w:rPr>
              <w:t>inclusive of the breastfeeding indicator.</w:t>
            </w:r>
          </w:p>
          <w:p w:rsidR="00A75BCE" w:rsidRDefault="00A75BCE" w:rsidP="003A3131">
            <w:pPr>
              <w:pStyle w:val="Default"/>
              <w:jc w:val="both"/>
              <w:rPr>
                <w:bCs/>
                <w:sz w:val="20"/>
                <w:szCs w:val="20"/>
              </w:rPr>
            </w:pPr>
          </w:p>
          <w:p w:rsidR="00CA6100" w:rsidRPr="0065255D" w:rsidRDefault="00EE7FA0" w:rsidP="00EE7FA0">
            <w:pPr>
              <w:pStyle w:val="Default"/>
              <w:jc w:val="both"/>
              <w:rPr>
                <w:bCs/>
                <w:sz w:val="20"/>
                <w:szCs w:val="20"/>
              </w:rPr>
            </w:pPr>
            <w:r>
              <w:rPr>
                <w:bCs/>
                <w:sz w:val="20"/>
                <w:szCs w:val="20"/>
              </w:rPr>
              <w:t xml:space="preserve">In addition the </w:t>
            </w:r>
            <w:r w:rsidR="00CA6100">
              <w:rPr>
                <w:bCs/>
                <w:sz w:val="20"/>
                <w:szCs w:val="20"/>
              </w:rPr>
              <w:t>Business Intelligence</w:t>
            </w:r>
            <w:r>
              <w:rPr>
                <w:bCs/>
                <w:sz w:val="20"/>
                <w:szCs w:val="20"/>
              </w:rPr>
              <w:t xml:space="preserve"> Team</w:t>
            </w:r>
            <w:r w:rsidR="00CA6100">
              <w:rPr>
                <w:bCs/>
                <w:sz w:val="20"/>
                <w:szCs w:val="20"/>
              </w:rPr>
              <w:t xml:space="preserve"> and Māori Health are working on reporting </w:t>
            </w:r>
            <w:r>
              <w:rPr>
                <w:bCs/>
                <w:sz w:val="20"/>
                <w:szCs w:val="20"/>
              </w:rPr>
              <w:t>timelines that synchronise with all other governance reporting</w:t>
            </w:r>
            <w:r w:rsidR="00B368A9">
              <w:rPr>
                <w:bCs/>
                <w:sz w:val="20"/>
                <w:szCs w:val="20"/>
              </w:rPr>
              <w:t>.</w:t>
            </w:r>
          </w:p>
        </w:tc>
      </w:tr>
    </w:tbl>
    <w:p w:rsidR="009F2CEA" w:rsidRDefault="009F2CEA" w:rsidP="009F2CEA"/>
    <w:tbl>
      <w:tblPr>
        <w:tblStyle w:val="TableGrid"/>
        <w:tblW w:w="0" w:type="auto"/>
        <w:tblLook w:val="04A0" w:firstRow="1" w:lastRow="0" w:firstColumn="1" w:lastColumn="0" w:noHBand="0" w:noVBand="1"/>
      </w:tblPr>
      <w:tblGrid>
        <w:gridCol w:w="2798"/>
        <w:gridCol w:w="3525"/>
        <w:gridCol w:w="3306"/>
      </w:tblGrid>
      <w:tr w:rsidR="009F2CEA" w:rsidRPr="005E564F" w:rsidTr="003A3131">
        <w:tc>
          <w:tcPr>
            <w:tcW w:w="2798"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September</w:t>
            </w:r>
          </w:p>
        </w:tc>
        <w:tc>
          <w:tcPr>
            <w:tcW w:w="3525"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MRB</w:t>
            </w:r>
          </w:p>
        </w:tc>
        <w:tc>
          <w:tcPr>
            <w:tcW w:w="3306" w:type="dxa"/>
            <w:shd w:val="clear" w:color="auto" w:fill="D9D9D9" w:themeFill="background1" w:themeFillShade="D9"/>
          </w:tcPr>
          <w:p w:rsidR="009F2CEA" w:rsidRPr="005E564F" w:rsidRDefault="0053209F" w:rsidP="003A3131">
            <w:pPr>
              <w:pStyle w:val="Default"/>
              <w:jc w:val="both"/>
              <w:rPr>
                <w:b/>
                <w:bCs/>
                <w:sz w:val="22"/>
                <w:szCs w:val="22"/>
              </w:rPr>
            </w:pPr>
            <w:r>
              <w:rPr>
                <w:b/>
                <w:bCs/>
                <w:sz w:val="22"/>
                <w:szCs w:val="22"/>
              </w:rPr>
              <w:t>Impact</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Rheumatic Fever Prevention Plan</w:t>
            </w:r>
          </w:p>
        </w:tc>
        <w:tc>
          <w:tcPr>
            <w:tcW w:w="3525" w:type="dxa"/>
          </w:tcPr>
          <w:p w:rsidR="009F2CEA" w:rsidRPr="0065255D" w:rsidRDefault="009F2CEA" w:rsidP="003A3131">
            <w:pPr>
              <w:pStyle w:val="Default"/>
              <w:jc w:val="both"/>
              <w:rPr>
                <w:bCs/>
                <w:sz w:val="20"/>
                <w:szCs w:val="20"/>
              </w:rPr>
            </w:pPr>
            <w:r w:rsidRPr="0065255D">
              <w:rPr>
                <w:bCs/>
                <w:sz w:val="20"/>
                <w:szCs w:val="20"/>
              </w:rPr>
              <w:t xml:space="preserve">MRB accepted the plan under the proviso engagement with the </w:t>
            </w:r>
            <w:r>
              <w:rPr>
                <w:bCs/>
                <w:sz w:val="20"/>
                <w:szCs w:val="20"/>
              </w:rPr>
              <w:t>Māori</w:t>
            </w:r>
            <w:r w:rsidRPr="0065255D">
              <w:rPr>
                <w:bCs/>
                <w:sz w:val="20"/>
                <w:szCs w:val="20"/>
              </w:rPr>
              <w:t xml:space="preserve"> community section be enhanced.  </w:t>
            </w:r>
          </w:p>
          <w:p w:rsidR="009F2CEA" w:rsidRPr="0065255D" w:rsidRDefault="009F2CEA" w:rsidP="003A3131">
            <w:pPr>
              <w:pStyle w:val="Default"/>
              <w:jc w:val="both"/>
              <w:rPr>
                <w:bCs/>
                <w:sz w:val="20"/>
                <w:szCs w:val="20"/>
              </w:rPr>
            </w:pPr>
          </w:p>
          <w:p w:rsidR="009F2CEA" w:rsidRPr="0065255D" w:rsidRDefault="009F2CEA" w:rsidP="003A3131">
            <w:pPr>
              <w:pStyle w:val="Default"/>
              <w:jc w:val="both"/>
              <w:rPr>
                <w:bCs/>
                <w:sz w:val="20"/>
                <w:szCs w:val="20"/>
              </w:rPr>
            </w:pPr>
            <w:r w:rsidRPr="0065255D">
              <w:rPr>
                <w:sz w:val="20"/>
                <w:szCs w:val="20"/>
              </w:rPr>
              <w:lastRenderedPageBreak/>
              <w:t xml:space="preserve">Highlighted concerns about the changes to the Healthy Homes criteria impacting on a number of whānau who sit outside this criteria in particular the Bridge Pa community.  </w:t>
            </w:r>
          </w:p>
        </w:tc>
        <w:tc>
          <w:tcPr>
            <w:tcW w:w="3306" w:type="dxa"/>
          </w:tcPr>
          <w:p w:rsidR="009F2CEA" w:rsidRPr="0065255D" w:rsidRDefault="009F2CEA" w:rsidP="003A3131">
            <w:pPr>
              <w:pStyle w:val="Default"/>
              <w:jc w:val="both"/>
              <w:rPr>
                <w:bCs/>
                <w:sz w:val="20"/>
                <w:szCs w:val="20"/>
              </w:rPr>
            </w:pPr>
            <w:r>
              <w:rPr>
                <w:bCs/>
                <w:sz w:val="20"/>
                <w:szCs w:val="20"/>
              </w:rPr>
              <w:lastRenderedPageBreak/>
              <w:t>Agreed changes made and returned to MRB for endorsement.</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lastRenderedPageBreak/>
              <w:t>Implementation of Obesity Strategy</w:t>
            </w:r>
          </w:p>
        </w:tc>
        <w:tc>
          <w:tcPr>
            <w:tcW w:w="3525" w:type="dxa"/>
          </w:tcPr>
          <w:p w:rsidR="009F2CEA" w:rsidRPr="0065255D" w:rsidRDefault="009F2CEA" w:rsidP="003A3131">
            <w:pPr>
              <w:pStyle w:val="Default"/>
              <w:jc w:val="both"/>
              <w:rPr>
                <w:bCs/>
                <w:sz w:val="20"/>
                <w:szCs w:val="20"/>
              </w:rPr>
            </w:pPr>
            <w:r w:rsidRPr="0065255D">
              <w:rPr>
                <w:bCs/>
                <w:sz w:val="20"/>
                <w:szCs w:val="20"/>
              </w:rPr>
              <w:t xml:space="preserve">Supportive of strategy but raised concern that the strategy was more of a health </w:t>
            </w:r>
            <w:r w:rsidRPr="0065255D">
              <w:rPr>
                <w:sz w:val="20"/>
                <w:szCs w:val="20"/>
              </w:rPr>
              <w:t>and nutrition strategy rather than an obesity strategy.</w:t>
            </w:r>
          </w:p>
        </w:tc>
        <w:tc>
          <w:tcPr>
            <w:tcW w:w="3306" w:type="dxa"/>
          </w:tcPr>
          <w:p w:rsidR="009F2CEA" w:rsidRPr="0065255D" w:rsidRDefault="009F2CEA" w:rsidP="003A3131">
            <w:pPr>
              <w:pStyle w:val="Default"/>
              <w:jc w:val="both"/>
              <w:rPr>
                <w:bCs/>
                <w:sz w:val="20"/>
                <w:szCs w:val="20"/>
              </w:rPr>
            </w:pPr>
            <w:r w:rsidRPr="0065255D">
              <w:rPr>
                <w:bCs/>
                <w:sz w:val="20"/>
                <w:szCs w:val="20"/>
              </w:rPr>
              <w:t>Paper deferred.</w:t>
            </w:r>
            <w:r>
              <w:rPr>
                <w:bCs/>
                <w:sz w:val="20"/>
                <w:szCs w:val="20"/>
              </w:rPr>
              <w:t xml:space="preserve"> Key leaders are attending a Summer School in Wellington on the 14</w:t>
            </w:r>
            <w:r w:rsidRPr="003A3131">
              <w:rPr>
                <w:bCs/>
                <w:sz w:val="20"/>
                <w:szCs w:val="20"/>
                <w:vertAlign w:val="superscript"/>
              </w:rPr>
              <w:t>th</w:t>
            </w:r>
            <w:r>
              <w:rPr>
                <w:bCs/>
                <w:sz w:val="20"/>
                <w:szCs w:val="20"/>
              </w:rPr>
              <w:t xml:space="preserve"> Feb with the intention of returning and workshopping with other key stakeholders on how to strengthen the strategy.  In addition the WHO report on Obesity has just been released in January.  The results of these findings need to be included into the plan.  </w:t>
            </w:r>
          </w:p>
        </w:tc>
      </w:tr>
    </w:tbl>
    <w:p w:rsidR="009F2CEA" w:rsidRDefault="009F2CEA" w:rsidP="009F2CEA"/>
    <w:tbl>
      <w:tblPr>
        <w:tblStyle w:val="TableGrid"/>
        <w:tblW w:w="0" w:type="auto"/>
        <w:tblLook w:val="04A0" w:firstRow="1" w:lastRow="0" w:firstColumn="1" w:lastColumn="0" w:noHBand="0" w:noVBand="1"/>
      </w:tblPr>
      <w:tblGrid>
        <w:gridCol w:w="2798"/>
        <w:gridCol w:w="3525"/>
        <w:gridCol w:w="3306"/>
      </w:tblGrid>
      <w:tr w:rsidR="009F2CEA" w:rsidRPr="005E564F" w:rsidTr="003A3131">
        <w:tc>
          <w:tcPr>
            <w:tcW w:w="2798"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October</w:t>
            </w:r>
          </w:p>
        </w:tc>
        <w:tc>
          <w:tcPr>
            <w:tcW w:w="3525"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MRB</w:t>
            </w:r>
          </w:p>
        </w:tc>
        <w:tc>
          <w:tcPr>
            <w:tcW w:w="3306" w:type="dxa"/>
            <w:shd w:val="clear" w:color="auto" w:fill="D9D9D9" w:themeFill="background1" w:themeFillShade="D9"/>
          </w:tcPr>
          <w:p w:rsidR="009F2CEA" w:rsidRPr="005E564F" w:rsidRDefault="0053209F" w:rsidP="003A3131">
            <w:pPr>
              <w:pStyle w:val="Default"/>
              <w:jc w:val="both"/>
              <w:rPr>
                <w:b/>
                <w:bCs/>
                <w:sz w:val="22"/>
                <w:szCs w:val="22"/>
              </w:rPr>
            </w:pPr>
            <w:r>
              <w:rPr>
                <w:b/>
                <w:bCs/>
                <w:sz w:val="22"/>
                <w:szCs w:val="22"/>
              </w:rPr>
              <w:t>Impact</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Rheumatic Fever Prevention Plan</w:t>
            </w:r>
          </w:p>
        </w:tc>
        <w:tc>
          <w:tcPr>
            <w:tcW w:w="3525" w:type="dxa"/>
          </w:tcPr>
          <w:p w:rsidR="009F2CEA" w:rsidRPr="0065255D" w:rsidRDefault="009F2CEA" w:rsidP="003A3131">
            <w:pPr>
              <w:pStyle w:val="Default"/>
              <w:jc w:val="both"/>
              <w:rPr>
                <w:bCs/>
                <w:sz w:val="20"/>
                <w:szCs w:val="20"/>
              </w:rPr>
            </w:pPr>
            <w:r w:rsidRPr="0065255D">
              <w:rPr>
                <w:bCs/>
                <w:sz w:val="20"/>
                <w:szCs w:val="20"/>
              </w:rPr>
              <w:t xml:space="preserve">Plan was amended and disseminated to MRB to demonstrate agreed changes </w:t>
            </w:r>
            <w:r>
              <w:rPr>
                <w:bCs/>
                <w:sz w:val="20"/>
                <w:szCs w:val="20"/>
              </w:rPr>
              <w:t>discussed at the</w:t>
            </w:r>
            <w:r w:rsidRPr="0065255D">
              <w:rPr>
                <w:bCs/>
                <w:sz w:val="20"/>
                <w:szCs w:val="20"/>
              </w:rPr>
              <w:t xml:space="preserve"> </w:t>
            </w:r>
            <w:r>
              <w:rPr>
                <w:bCs/>
                <w:sz w:val="20"/>
                <w:szCs w:val="20"/>
              </w:rPr>
              <w:t>previou</w:t>
            </w:r>
            <w:r w:rsidRPr="0065255D">
              <w:rPr>
                <w:bCs/>
                <w:sz w:val="20"/>
                <w:szCs w:val="20"/>
              </w:rPr>
              <w:t xml:space="preserve">s meeting.  </w:t>
            </w:r>
            <w:r>
              <w:rPr>
                <w:bCs/>
                <w:sz w:val="20"/>
                <w:szCs w:val="20"/>
              </w:rPr>
              <w:t>T</w:t>
            </w:r>
            <w:r w:rsidRPr="0065255D">
              <w:rPr>
                <w:bCs/>
                <w:sz w:val="20"/>
                <w:szCs w:val="20"/>
              </w:rPr>
              <w:t>he plan received further</w:t>
            </w:r>
            <w:r>
              <w:rPr>
                <w:bCs/>
                <w:sz w:val="20"/>
                <w:szCs w:val="20"/>
              </w:rPr>
              <w:t xml:space="preserve"> feedback</w:t>
            </w:r>
            <w:r w:rsidRPr="0065255D">
              <w:rPr>
                <w:bCs/>
                <w:sz w:val="20"/>
                <w:szCs w:val="20"/>
              </w:rPr>
              <w:t>.  In light of th</w:t>
            </w:r>
            <w:r>
              <w:rPr>
                <w:bCs/>
                <w:sz w:val="20"/>
                <w:szCs w:val="20"/>
              </w:rPr>
              <w:t>is</w:t>
            </w:r>
            <w:r w:rsidRPr="0065255D">
              <w:rPr>
                <w:bCs/>
                <w:sz w:val="20"/>
                <w:szCs w:val="20"/>
              </w:rPr>
              <w:t>, MRB endorsed the refreshed plan with a letter of support from the MRB Chair.</w:t>
            </w:r>
          </w:p>
        </w:tc>
        <w:tc>
          <w:tcPr>
            <w:tcW w:w="3306" w:type="dxa"/>
          </w:tcPr>
          <w:p w:rsidR="009F2CEA" w:rsidRPr="0065255D" w:rsidRDefault="00DA4A28" w:rsidP="00DA4A28">
            <w:pPr>
              <w:pStyle w:val="Default"/>
              <w:jc w:val="both"/>
              <w:rPr>
                <w:bCs/>
                <w:sz w:val="20"/>
                <w:szCs w:val="20"/>
              </w:rPr>
            </w:pPr>
            <w:r>
              <w:rPr>
                <w:bCs/>
                <w:sz w:val="20"/>
                <w:szCs w:val="20"/>
              </w:rPr>
              <w:t>Board approved the refreshed Rheumatic Fever Prevention Plan that was submitted</w:t>
            </w:r>
            <w:r w:rsidR="009F2CEA" w:rsidRPr="0065255D">
              <w:rPr>
                <w:bCs/>
                <w:sz w:val="20"/>
                <w:szCs w:val="20"/>
              </w:rPr>
              <w:t xml:space="preserve"> to the Ministry of Health on 20 October</w:t>
            </w:r>
            <w:r>
              <w:rPr>
                <w:bCs/>
                <w:sz w:val="20"/>
                <w:szCs w:val="20"/>
              </w:rPr>
              <w:t xml:space="preserve"> 2015</w:t>
            </w:r>
            <w:r w:rsidR="009F2CEA" w:rsidRPr="0065255D">
              <w:rPr>
                <w:bCs/>
                <w:sz w:val="20"/>
                <w:szCs w:val="20"/>
              </w:rPr>
              <w:t>.</w:t>
            </w:r>
            <w:r w:rsidR="00B13C62">
              <w:rPr>
                <w:bCs/>
                <w:sz w:val="20"/>
                <w:szCs w:val="20"/>
              </w:rPr>
              <w:t xml:space="preserve">  </w:t>
            </w:r>
          </w:p>
        </w:tc>
      </w:tr>
    </w:tbl>
    <w:p w:rsidR="009F2CEA" w:rsidRDefault="009F2CEA" w:rsidP="009F2CEA"/>
    <w:tbl>
      <w:tblPr>
        <w:tblStyle w:val="TableGrid"/>
        <w:tblW w:w="0" w:type="auto"/>
        <w:tblLook w:val="04A0" w:firstRow="1" w:lastRow="0" w:firstColumn="1" w:lastColumn="0" w:noHBand="0" w:noVBand="1"/>
      </w:tblPr>
      <w:tblGrid>
        <w:gridCol w:w="2798"/>
        <w:gridCol w:w="3525"/>
        <w:gridCol w:w="3306"/>
      </w:tblGrid>
      <w:tr w:rsidR="009F2CEA" w:rsidRPr="005E564F" w:rsidTr="003A3131">
        <w:tc>
          <w:tcPr>
            <w:tcW w:w="2798" w:type="dxa"/>
            <w:shd w:val="clear" w:color="auto" w:fill="D9D9D9" w:themeFill="background1" w:themeFillShade="D9"/>
          </w:tcPr>
          <w:p w:rsidR="009F2CEA" w:rsidRPr="005E564F" w:rsidRDefault="009F2CEA" w:rsidP="003A3131">
            <w:pPr>
              <w:pStyle w:val="Default"/>
              <w:jc w:val="both"/>
              <w:rPr>
                <w:b/>
                <w:bCs/>
                <w:sz w:val="22"/>
                <w:szCs w:val="22"/>
              </w:rPr>
            </w:pPr>
            <w:r w:rsidRPr="005E564F">
              <w:rPr>
                <w:b/>
                <w:bCs/>
                <w:sz w:val="22"/>
                <w:szCs w:val="22"/>
              </w:rPr>
              <w:t>November</w:t>
            </w:r>
          </w:p>
        </w:tc>
        <w:tc>
          <w:tcPr>
            <w:tcW w:w="3525" w:type="dxa"/>
            <w:shd w:val="clear" w:color="auto" w:fill="D9D9D9" w:themeFill="background1" w:themeFillShade="D9"/>
          </w:tcPr>
          <w:p w:rsidR="009F2CEA" w:rsidRPr="005E564F" w:rsidRDefault="009F2CEA" w:rsidP="003A3131">
            <w:pPr>
              <w:pStyle w:val="Default"/>
              <w:jc w:val="both"/>
              <w:rPr>
                <w:b/>
                <w:bCs/>
                <w:sz w:val="22"/>
                <w:szCs w:val="22"/>
              </w:rPr>
            </w:pPr>
            <w:r>
              <w:rPr>
                <w:b/>
                <w:bCs/>
                <w:sz w:val="22"/>
                <w:szCs w:val="22"/>
              </w:rPr>
              <w:t>MRB</w:t>
            </w:r>
          </w:p>
        </w:tc>
        <w:tc>
          <w:tcPr>
            <w:tcW w:w="3306" w:type="dxa"/>
            <w:shd w:val="clear" w:color="auto" w:fill="D9D9D9" w:themeFill="background1" w:themeFillShade="D9"/>
          </w:tcPr>
          <w:p w:rsidR="009F2CEA" w:rsidRPr="005E564F" w:rsidRDefault="0053209F" w:rsidP="003A3131">
            <w:pPr>
              <w:pStyle w:val="Default"/>
              <w:jc w:val="both"/>
              <w:rPr>
                <w:b/>
                <w:bCs/>
                <w:sz w:val="22"/>
                <w:szCs w:val="22"/>
              </w:rPr>
            </w:pPr>
            <w:r>
              <w:rPr>
                <w:b/>
                <w:bCs/>
                <w:sz w:val="22"/>
                <w:szCs w:val="22"/>
              </w:rPr>
              <w:t>Impact</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Alcohol and Other Drugs (AOD)</w:t>
            </w:r>
          </w:p>
        </w:tc>
        <w:tc>
          <w:tcPr>
            <w:tcW w:w="3525" w:type="dxa"/>
          </w:tcPr>
          <w:p w:rsidR="009F2CEA" w:rsidRPr="0065255D" w:rsidRDefault="009F2CEA" w:rsidP="003A3131">
            <w:pPr>
              <w:pStyle w:val="Default"/>
              <w:jc w:val="both"/>
              <w:rPr>
                <w:bCs/>
                <w:sz w:val="20"/>
                <w:szCs w:val="20"/>
              </w:rPr>
            </w:pPr>
            <w:r w:rsidRPr="0065255D">
              <w:rPr>
                <w:bCs/>
                <w:sz w:val="20"/>
                <w:szCs w:val="20"/>
              </w:rPr>
              <w:t xml:space="preserve">Add as a priority to the Annual </w:t>
            </w:r>
            <w:r>
              <w:rPr>
                <w:bCs/>
                <w:sz w:val="20"/>
                <w:szCs w:val="20"/>
              </w:rPr>
              <w:t>Māori</w:t>
            </w:r>
            <w:r w:rsidRPr="0065255D">
              <w:rPr>
                <w:bCs/>
                <w:sz w:val="20"/>
                <w:szCs w:val="20"/>
              </w:rPr>
              <w:t xml:space="preserve"> Health Plan 2016-17</w:t>
            </w:r>
          </w:p>
        </w:tc>
        <w:tc>
          <w:tcPr>
            <w:tcW w:w="3306" w:type="dxa"/>
          </w:tcPr>
          <w:p w:rsidR="009F2CEA" w:rsidRPr="0065255D" w:rsidRDefault="009F2CEA" w:rsidP="003A3131">
            <w:pPr>
              <w:pStyle w:val="Default"/>
              <w:jc w:val="both"/>
              <w:rPr>
                <w:bCs/>
                <w:sz w:val="20"/>
                <w:szCs w:val="20"/>
              </w:rPr>
            </w:pPr>
            <w:r w:rsidRPr="0065255D">
              <w:rPr>
                <w:bCs/>
                <w:sz w:val="20"/>
                <w:szCs w:val="20"/>
              </w:rPr>
              <w:t>Board approved AOD to be added as a priority</w:t>
            </w:r>
            <w:r>
              <w:rPr>
                <w:bCs/>
                <w:sz w:val="20"/>
                <w:szCs w:val="20"/>
              </w:rPr>
              <w:t xml:space="preserve"> to the 2016-17 Annual Plan</w:t>
            </w:r>
            <w:r w:rsidRPr="0065255D">
              <w:rPr>
                <w:bCs/>
                <w:sz w:val="20"/>
                <w:szCs w:val="20"/>
              </w:rPr>
              <w:t>.</w:t>
            </w:r>
            <w:r>
              <w:rPr>
                <w:bCs/>
                <w:sz w:val="20"/>
                <w:szCs w:val="20"/>
              </w:rPr>
              <w:t xml:space="preserve"> This is to be led by Population Health </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Fetal Alcohol Spectrum Disorder (FASD)</w:t>
            </w:r>
          </w:p>
        </w:tc>
        <w:tc>
          <w:tcPr>
            <w:tcW w:w="3525" w:type="dxa"/>
          </w:tcPr>
          <w:p w:rsidR="009F2CEA" w:rsidRPr="0065255D" w:rsidRDefault="009F2CEA" w:rsidP="003A3131">
            <w:pPr>
              <w:pStyle w:val="Default"/>
              <w:jc w:val="both"/>
              <w:rPr>
                <w:bCs/>
                <w:sz w:val="20"/>
                <w:szCs w:val="20"/>
              </w:rPr>
            </w:pPr>
            <w:r w:rsidRPr="0065255D">
              <w:rPr>
                <w:bCs/>
                <w:sz w:val="20"/>
                <w:szCs w:val="20"/>
              </w:rPr>
              <w:t>Include FASD as a priority under AOD.</w:t>
            </w:r>
          </w:p>
        </w:tc>
        <w:tc>
          <w:tcPr>
            <w:tcW w:w="3306" w:type="dxa"/>
          </w:tcPr>
          <w:p w:rsidR="009F2CEA" w:rsidRPr="0065255D" w:rsidRDefault="009F2CEA" w:rsidP="003A3131">
            <w:pPr>
              <w:pStyle w:val="Default"/>
              <w:jc w:val="both"/>
              <w:rPr>
                <w:bCs/>
                <w:sz w:val="20"/>
                <w:szCs w:val="20"/>
              </w:rPr>
            </w:pPr>
            <w:r w:rsidRPr="0065255D">
              <w:rPr>
                <w:bCs/>
                <w:sz w:val="20"/>
                <w:szCs w:val="20"/>
              </w:rPr>
              <w:t>Board also approved FASD as a priority.</w:t>
            </w:r>
            <w:r>
              <w:rPr>
                <w:bCs/>
                <w:sz w:val="20"/>
                <w:szCs w:val="20"/>
              </w:rPr>
              <w:t xml:space="preserve"> </w:t>
            </w:r>
            <w:r w:rsidR="00DA4A28">
              <w:rPr>
                <w:bCs/>
                <w:sz w:val="20"/>
                <w:szCs w:val="20"/>
              </w:rPr>
              <w:t xml:space="preserve"> </w:t>
            </w:r>
            <w:r>
              <w:rPr>
                <w:bCs/>
                <w:sz w:val="20"/>
                <w:szCs w:val="20"/>
              </w:rPr>
              <w:t xml:space="preserve">Population Health will include FASD into the Alcohol and Drug strategy </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Regional Tobacco Strategy for Hawke’s Bay 2015-20</w:t>
            </w:r>
          </w:p>
        </w:tc>
        <w:tc>
          <w:tcPr>
            <w:tcW w:w="3525" w:type="dxa"/>
          </w:tcPr>
          <w:p w:rsidR="009F2CEA" w:rsidRPr="0065255D" w:rsidRDefault="00DA4A28" w:rsidP="00B368A9">
            <w:pPr>
              <w:pStyle w:val="Default"/>
              <w:jc w:val="both"/>
              <w:rPr>
                <w:bCs/>
                <w:sz w:val="20"/>
                <w:szCs w:val="20"/>
              </w:rPr>
            </w:pPr>
            <w:r>
              <w:rPr>
                <w:bCs/>
                <w:sz w:val="20"/>
                <w:szCs w:val="20"/>
              </w:rPr>
              <w:t>MRB</w:t>
            </w:r>
            <w:r w:rsidR="00B368A9">
              <w:rPr>
                <w:bCs/>
                <w:sz w:val="20"/>
                <w:szCs w:val="20"/>
              </w:rPr>
              <w:t xml:space="preserve"> endorsed the </w:t>
            </w:r>
            <w:r w:rsidR="00BD44A1">
              <w:rPr>
                <w:bCs/>
                <w:sz w:val="20"/>
                <w:szCs w:val="20"/>
              </w:rPr>
              <w:t xml:space="preserve">strategy </w:t>
            </w:r>
            <w:r w:rsidR="00B368A9">
              <w:rPr>
                <w:bCs/>
                <w:sz w:val="20"/>
                <w:szCs w:val="20"/>
              </w:rPr>
              <w:t xml:space="preserve">because they felt </w:t>
            </w:r>
            <w:r>
              <w:rPr>
                <w:bCs/>
                <w:sz w:val="20"/>
                <w:szCs w:val="20"/>
              </w:rPr>
              <w:t>there had been ample discussion regarding the strategy and that it was t</w:t>
            </w:r>
            <w:r w:rsidR="009F2CEA" w:rsidRPr="0065255D">
              <w:rPr>
                <w:bCs/>
                <w:sz w:val="20"/>
                <w:szCs w:val="20"/>
              </w:rPr>
              <w:t>ime for some action.</w:t>
            </w:r>
          </w:p>
        </w:tc>
        <w:tc>
          <w:tcPr>
            <w:tcW w:w="3306" w:type="dxa"/>
          </w:tcPr>
          <w:p w:rsidR="009F2CEA" w:rsidRDefault="009F2CEA" w:rsidP="003A3131">
            <w:pPr>
              <w:pStyle w:val="Default"/>
              <w:jc w:val="both"/>
              <w:rPr>
                <w:bCs/>
                <w:sz w:val="20"/>
                <w:szCs w:val="20"/>
              </w:rPr>
            </w:pPr>
            <w:r w:rsidRPr="0065255D">
              <w:rPr>
                <w:bCs/>
                <w:sz w:val="20"/>
                <w:szCs w:val="20"/>
              </w:rPr>
              <w:t>Board endorsed the draft strategy.</w:t>
            </w:r>
          </w:p>
          <w:p w:rsidR="006C3B5E" w:rsidRPr="0065255D" w:rsidRDefault="006C3B5E" w:rsidP="003A3131">
            <w:pPr>
              <w:pStyle w:val="Default"/>
              <w:jc w:val="both"/>
              <w:rPr>
                <w:bCs/>
                <w:sz w:val="20"/>
                <w:szCs w:val="20"/>
              </w:rPr>
            </w:pPr>
            <w:r>
              <w:rPr>
                <w:bCs/>
                <w:sz w:val="20"/>
                <w:szCs w:val="20"/>
              </w:rPr>
              <w:t>It was agreed the strategy would be reviewed yearly.  First update in November 2016.</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Bilingual Signage Policy</w:t>
            </w:r>
          </w:p>
        </w:tc>
        <w:tc>
          <w:tcPr>
            <w:tcW w:w="3525" w:type="dxa"/>
          </w:tcPr>
          <w:p w:rsidR="009F2CEA" w:rsidRPr="0065255D" w:rsidRDefault="009F2CEA" w:rsidP="003A3131">
            <w:pPr>
              <w:pStyle w:val="Default"/>
              <w:jc w:val="both"/>
              <w:rPr>
                <w:bCs/>
                <w:sz w:val="20"/>
                <w:szCs w:val="20"/>
              </w:rPr>
            </w:pPr>
            <w:r>
              <w:rPr>
                <w:bCs/>
                <w:sz w:val="20"/>
                <w:szCs w:val="20"/>
              </w:rPr>
              <w:t xml:space="preserve">MRB recommended </w:t>
            </w:r>
            <w:r w:rsidRPr="0065255D">
              <w:rPr>
                <w:bCs/>
                <w:sz w:val="20"/>
                <w:szCs w:val="20"/>
              </w:rPr>
              <w:t>Te Reo Māori first followed by English</w:t>
            </w:r>
            <w:r>
              <w:rPr>
                <w:bCs/>
                <w:sz w:val="20"/>
                <w:szCs w:val="20"/>
              </w:rPr>
              <w:t xml:space="preserve"> and </w:t>
            </w:r>
            <w:r w:rsidR="00BD44A1">
              <w:rPr>
                <w:bCs/>
                <w:sz w:val="20"/>
                <w:szCs w:val="20"/>
              </w:rPr>
              <w:t>for this</w:t>
            </w:r>
            <w:r>
              <w:rPr>
                <w:bCs/>
                <w:sz w:val="20"/>
                <w:szCs w:val="20"/>
              </w:rPr>
              <w:t xml:space="preserve"> format to apply </w:t>
            </w:r>
            <w:r w:rsidRPr="0065255D">
              <w:rPr>
                <w:bCs/>
                <w:sz w:val="20"/>
                <w:szCs w:val="20"/>
              </w:rPr>
              <w:t>to both internal and external signage</w:t>
            </w:r>
            <w:r>
              <w:rPr>
                <w:bCs/>
                <w:sz w:val="20"/>
                <w:szCs w:val="20"/>
              </w:rPr>
              <w:t xml:space="preserve">.  In addition, MRB </w:t>
            </w:r>
            <w:r w:rsidR="00BD44A1">
              <w:rPr>
                <w:bCs/>
                <w:sz w:val="20"/>
                <w:szCs w:val="20"/>
              </w:rPr>
              <w:t>requested and</w:t>
            </w:r>
            <w:r>
              <w:rPr>
                <w:bCs/>
                <w:sz w:val="20"/>
                <w:szCs w:val="20"/>
              </w:rPr>
              <w:t xml:space="preserve"> the format</w:t>
            </w:r>
            <w:r w:rsidRPr="0065255D">
              <w:rPr>
                <w:bCs/>
                <w:sz w:val="20"/>
                <w:szCs w:val="20"/>
              </w:rPr>
              <w:t xml:space="preserve"> to</w:t>
            </w:r>
            <w:r>
              <w:rPr>
                <w:bCs/>
                <w:sz w:val="20"/>
                <w:szCs w:val="20"/>
              </w:rPr>
              <w:t xml:space="preserve"> be</w:t>
            </w:r>
            <w:r w:rsidRPr="0065255D">
              <w:rPr>
                <w:bCs/>
                <w:sz w:val="20"/>
                <w:szCs w:val="20"/>
              </w:rPr>
              <w:t xml:space="preserve"> reflect</w:t>
            </w:r>
            <w:r>
              <w:rPr>
                <w:bCs/>
                <w:sz w:val="20"/>
                <w:szCs w:val="20"/>
              </w:rPr>
              <w:t>ed</w:t>
            </w:r>
            <w:r w:rsidRPr="0065255D">
              <w:rPr>
                <w:bCs/>
                <w:sz w:val="20"/>
                <w:szCs w:val="20"/>
              </w:rPr>
              <w:t xml:space="preserve"> in the organisational policies; Signage and Display and Te Reo Māori Translation.</w:t>
            </w:r>
          </w:p>
        </w:tc>
        <w:tc>
          <w:tcPr>
            <w:tcW w:w="3306" w:type="dxa"/>
          </w:tcPr>
          <w:p w:rsidR="009F2CEA" w:rsidRPr="0065255D" w:rsidRDefault="009F2CEA" w:rsidP="003A3131">
            <w:pPr>
              <w:pStyle w:val="Default"/>
              <w:jc w:val="both"/>
              <w:rPr>
                <w:bCs/>
                <w:sz w:val="20"/>
                <w:szCs w:val="20"/>
              </w:rPr>
            </w:pPr>
            <w:r w:rsidRPr="0065255D">
              <w:rPr>
                <w:bCs/>
                <w:sz w:val="20"/>
                <w:szCs w:val="20"/>
              </w:rPr>
              <w:t xml:space="preserve">Consumer and Clinical councils agreed with MRB followed by the approval of the Board to have Te Reo </w:t>
            </w:r>
            <w:r>
              <w:rPr>
                <w:bCs/>
                <w:sz w:val="20"/>
                <w:szCs w:val="20"/>
              </w:rPr>
              <w:t>Māori</w:t>
            </w:r>
            <w:r w:rsidRPr="0065255D">
              <w:rPr>
                <w:bCs/>
                <w:sz w:val="20"/>
                <w:szCs w:val="20"/>
              </w:rPr>
              <w:t xml:space="preserve"> first</w:t>
            </w:r>
            <w:r>
              <w:rPr>
                <w:bCs/>
                <w:sz w:val="20"/>
                <w:szCs w:val="20"/>
              </w:rPr>
              <w:t xml:space="preserve"> on all signage</w:t>
            </w:r>
            <w:r w:rsidRPr="0065255D">
              <w:rPr>
                <w:bCs/>
                <w:sz w:val="20"/>
                <w:szCs w:val="20"/>
              </w:rPr>
              <w:t xml:space="preserve">.  The policies are </w:t>
            </w:r>
            <w:r>
              <w:rPr>
                <w:bCs/>
                <w:sz w:val="20"/>
                <w:szCs w:val="20"/>
              </w:rPr>
              <w:t>now aligned with MRBs recommendations and signage display is now being considered</w:t>
            </w:r>
            <w:r w:rsidRPr="0065255D">
              <w:rPr>
                <w:bCs/>
                <w:sz w:val="20"/>
                <w:szCs w:val="20"/>
              </w:rPr>
              <w:t>.</w:t>
            </w:r>
          </w:p>
        </w:tc>
      </w:tr>
      <w:tr w:rsidR="009F2CEA" w:rsidRPr="0065255D" w:rsidTr="003A3131">
        <w:tc>
          <w:tcPr>
            <w:tcW w:w="2798" w:type="dxa"/>
          </w:tcPr>
          <w:p w:rsidR="009F2CEA" w:rsidRPr="0065255D" w:rsidRDefault="009F2CEA" w:rsidP="003A3131">
            <w:pPr>
              <w:pStyle w:val="Default"/>
              <w:jc w:val="both"/>
              <w:rPr>
                <w:bCs/>
                <w:sz w:val="20"/>
                <w:szCs w:val="20"/>
              </w:rPr>
            </w:pPr>
            <w:r w:rsidRPr="0065255D">
              <w:rPr>
                <w:bCs/>
                <w:sz w:val="20"/>
                <w:szCs w:val="20"/>
              </w:rPr>
              <w:t>Locality Networks Planning</w:t>
            </w:r>
          </w:p>
        </w:tc>
        <w:tc>
          <w:tcPr>
            <w:tcW w:w="3525" w:type="dxa"/>
          </w:tcPr>
          <w:p w:rsidR="009F2CEA" w:rsidRPr="0065255D" w:rsidRDefault="009F2CEA" w:rsidP="003A3131">
            <w:pPr>
              <w:pStyle w:val="Default"/>
              <w:jc w:val="both"/>
              <w:rPr>
                <w:bCs/>
                <w:sz w:val="20"/>
                <w:szCs w:val="20"/>
              </w:rPr>
            </w:pPr>
            <w:r w:rsidRPr="0065255D">
              <w:rPr>
                <w:bCs/>
                <w:sz w:val="20"/>
                <w:szCs w:val="20"/>
              </w:rPr>
              <w:t>Call</w:t>
            </w:r>
            <w:r>
              <w:rPr>
                <w:bCs/>
                <w:sz w:val="20"/>
                <w:szCs w:val="20"/>
              </w:rPr>
              <w:t>ed</w:t>
            </w:r>
            <w:r w:rsidRPr="0065255D">
              <w:rPr>
                <w:bCs/>
                <w:sz w:val="20"/>
                <w:szCs w:val="20"/>
              </w:rPr>
              <w:t xml:space="preserve"> a special meeting in December to get clarity around how Locality Network Planning will affect the community and Māori Providers.</w:t>
            </w:r>
          </w:p>
        </w:tc>
        <w:tc>
          <w:tcPr>
            <w:tcW w:w="3306" w:type="dxa"/>
          </w:tcPr>
          <w:p w:rsidR="009F2CEA" w:rsidRPr="0065255D" w:rsidRDefault="009F2CEA" w:rsidP="003A3131">
            <w:pPr>
              <w:pStyle w:val="Default"/>
              <w:jc w:val="both"/>
              <w:rPr>
                <w:bCs/>
                <w:sz w:val="20"/>
                <w:szCs w:val="20"/>
              </w:rPr>
            </w:pPr>
            <w:r w:rsidRPr="0065255D">
              <w:rPr>
                <w:bCs/>
                <w:sz w:val="20"/>
                <w:szCs w:val="20"/>
              </w:rPr>
              <w:t xml:space="preserve">The model was pulled back for further discussion.  A Terms of Reference developed </w:t>
            </w:r>
            <w:r>
              <w:rPr>
                <w:bCs/>
                <w:sz w:val="20"/>
                <w:szCs w:val="20"/>
              </w:rPr>
              <w:t xml:space="preserve">for Health and Social Networks development for feedback and advice by MRB </w:t>
            </w:r>
            <w:r w:rsidRPr="0065255D">
              <w:rPr>
                <w:bCs/>
                <w:sz w:val="20"/>
                <w:szCs w:val="20"/>
              </w:rPr>
              <w:t>today.</w:t>
            </w:r>
          </w:p>
        </w:tc>
      </w:tr>
    </w:tbl>
    <w:p w:rsidR="009F2CEA" w:rsidRDefault="009F2CEA" w:rsidP="002A265B">
      <w:pPr>
        <w:pStyle w:val="Default"/>
        <w:jc w:val="both"/>
        <w:rPr>
          <w:bCs/>
          <w:sz w:val="22"/>
          <w:szCs w:val="22"/>
        </w:rPr>
      </w:pPr>
    </w:p>
    <w:tbl>
      <w:tblPr>
        <w:tblStyle w:val="TableGrid"/>
        <w:tblW w:w="0" w:type="auto"/>
        <w:tblLook w:val="04A0" w:firstRow="1" w:lastRow="0" w:firstColumn="1" w:lastColumn="0" w:noHBand="0" w:noVBand="1"/>
      </w:tblPr>
      <w:tblGrid>
        <w:gridCol w:w="2798"/>
        <w:gridCol w:w="3525"/>
        <w:gridCol w:w="3306"/>
      </w:tblGrid>
      <w:tr w:rsidR="00AC3381" w:rsidRPr="007034F5" w:rsidTr="00863264">
        <w:tc>
          <w:tcPr>
            <w:tcW w:w="2798" w:type="dxa"/>
            <w:shd w:val="clear" w:color="auto" w:fill="D9D9D9" w:themeFill="background1" w:themeFillShade="D9"/>
          </w:tcPr>
          <w:p w:rsidR="00AC3381" w:rsidRPr="007034F5" w:rsidRDefault="00AC3381" w:rsidP="00863264">
            <w:pPr>
              <w:pStyle w:val="Default"/>
              <w:jc w:val="both"/>
              <w:rPr>
                <w:b/>
                <w:bCs/>
                <w:sz w:val="22"/>
                <w:szCs w:val="22"/>
              </w:rPr>
            </w:pPr>
            <w:r w:rsidRPr="007034F5">
              <w:rPr>
                <w:b/>
                <w:bCs/>
                <w:sz w:val="22"/>
                <w:szCs w:val="22"/>
              </w:rPr>
              <w:t>December</w:t>
            </w:r>
          </w:p>
        </w:tc>
        <w:tc>
          <w:tcPr>
            <w:tcW w:w="3525" w:type="dxa"/>
            <w:shd w:val="clear" w:color="auto" w:fill="D9D9D9" w:themeFill="background1" w:themeFillShade="D9"/>
          </w:tcPr>
          <w:p w:rsidR="00AC3381" w:rsidRPr="007034F5" w:rsidRDefault="00AC3381" w:rsidP="00863264">
            <w:pPr>
              <w:pStyle w:val="Default"/>
              <w:jc w:val="both"/>
              <w:rPr>
                <w:b/>
                <w:bCs/>
                <w:sz w:val="22"/>
                <w:szCs w:val="22"/>
              </w:rPr>
            </w:pPr>
            <w:r>
              <w:rPr>
                <w:b/>
                <w:bCs/>
                <w:sz w:val="22"/>
                <w:szCs w:val="22"/>
              </w:rPr>
              <w:t>MRB</w:t>
            </w:r>
          </w:p>
        </w:tc>
        <w:tc>
          <w:tcPr>
            <w:tcW w:w="3306" w:type="dxa"/>
            <w:shd w:val="clear" w:color="auto" w:fill="D9D9D9" w:themeFill="background1" w:themeFillShade="D9"/>
          </w:tcPr>
          <w:p w:rsidR="00AC3381" w:rsidRPr="007034F5" w:rsidRDefault="0053209F" w:rsidP="00863264">
            <w:pPr>
              <w:pStyle w:val="Default"/>
              <w:jc w:val="both"/>
              <w:rPr>
                <w:b/>
                <w:bCs/>
                <w:sz w:val="22"/>
                <w:szCs w:val="22"/>
              </w:rPr>
            </w:pPr>
            <w:r>
              <w:rPr>
                <w:b/>
                <w:bCs/>
                <w:sz w:val="22"/>
                <w:szCs w:val="22"/>
              </w:rPr>
              <w:t>Impact</w:t>
            </w:r>
          </w:p>
        </w:tc>
      </w:tr>
      <w:tr w:rsidR="00AC3381" w:rsidRPr="0065255D" w:rsidTr="00863264">
        <w:tc>
          <w:tcPr>
            <w:tcW w:w="2798" w:type="dxa"/>
          </w:tcPr>
          <w:p w:rsidR="00AC3381" w:rsidRPr="0065255D" w:rsidRDefault="001906B9" w:rsidP="00863264">
            <w:pPr>
              <w:pStyle w:val="Default"/>
              <w:jc w:val="both"/>
              <w:rPr>
                <w:bCs/>
                <w:sz w:val="20"/>
                <w:szCs w:val="20"/>
              </w:rPr>
            </w:pPr>
            <w:r w:rsidRPr="0065255D">
              <w:rPr>
                <w:bCs/>
                <w:sz w:val="20"/>
                <w:szCs w:val="20"/>
              </w:rPr>
              <w:t>Bilingual</w:t>
            </w:r>
            <w:r w:rsidR="00AC3381" w:rsidRPr="0065255D">
              <w:rPr>
                <w:bCs/>
                <w:sz w:val="20"/>
                <w:szCs w:val="20"/>
              </w:rPr>
              <w:t xml:space="preserve"> Signage Principles</w:t>
            </w:r>
          </w:p>
        </w:tc>
        <w:tc>
          <w:tcPr>
            <w:tcW w:w="3525" w:type="dxa"/>
          </w:tcPr>
          <w:p w:rsidR="00AC3381" w:rsidRPr="0065255D" w:rsidRDefault="00AC3381" w:rsidP="00863264">
            <w:pPr>
              <w:pStyle w:val="Default"/>
              <w:jc w:val="both"/>
              <w:rPr>
                <w:bCs/>
                <w:sz w:val="20"/>
                <w:szCs w:val="20"/>
              </w:rPr>
            </w:pPr>
            <w:r w:rsidRPr="0065255D">
              <w:rPr>
                <w:bCs/>
                <w:sz w:val="20"/>
                <w:szCs w:val="20"/>
              </w:rPr>
              <w:t xml:space="preserve">Endorsed principles and requested inclusion of MRBs </w:t>
            </w:r>
            <w:r w:rsidR="00DD474F">
              <w:rPr>
                <w:bCs/>
                <w:sz w:val="20"/>
                <w:szCs w:val="20"/>
              </w:rPr>
              <w:t xml:space="preserve">additional </w:t>
            </w:r>
            <w:r w:rsidRPr="0065255D">
              <w:rPr>
                <w:bCs/>
                <w:sz w:val="20"/>
                <w:szCs w:val="20"/>
              </w:rPr>
              <w:t>principles.</w:t>
            </w:r>
          </w:p>
        </w:tc>
        <w:tc>
          <w:tcPr>
            <w:tcW w:w="3306" w:type="dxa"/>
          </w:tcPr>
          <w:p w:rsidR="00AC3381" w:rsidRPr="0065255D" w:rsidRDefault="00AF6240" w:rsidP="00AF6240">
            <w:pPr>
              <w:pStyle w:val="Default"/>
              <w:jc w:val="both"/>
              <w:rPr>
                <w:bCs/>
                <w:sz w:val="20"/>
                <w:szCs w:val="20"/>
              </w:rPr>
            </w:pPr>
            <w:r>
              <w:rPr>
                <w:bCs/>
                <w:sz w:val="20"/>
                <w:szCs w:val="20"/>
              </w:rPr>
              <w:t>Board noted M</w:t>
            </w:r>
            <w:r w:rsidR="00AC3381" w:rsidRPr="0065255D">
              <w:rPr>
                <w:bCs/>
                <w:sz w:val="20"/>
                <w:szCs w:val="20"/>
              </w:rPr>
              <w:t>RBs principles.</w:t>
            </w:r>
            <w:r w:rsidR="00EE7FA0">
              <w:rPr>
                <w:bCs/>
                <w:sz w:val="20"/>
                <w:szCs w:val="20"/>
              </w:rPr>
              <w:t xml:space="preserve"> Executive Team has taken these principles and applied them to the policy for implementation </w:t>
            </w:r>
          </w:p>
        </w:tc>
      </w:tr>
      <w:tr w:rsidR="00AC3381" w:rsidRPr="0065255D" w:rsidTr="00863264">
        <w:tc>
          <w:tcPr>
            <w:tcW w:w="2798" w:type="dxa"/>
          </w:tcPr>
          <w:p w:rsidR="00AC3381" w:rsidRPr="0065255D" w:rsidRDefault="00AC3381" w:rsidP="00863264">
            <w:pPr>
              <w:pStyle w:val="Default"/>
              <w:jc w:val="both"/>
              <w:rPr>
                <w:bCs/>
                <w:sz w:val="20"/>
                <w:szCs w:val="20"/>
              </w:rPr>
            </w:pPr>
            <w:r w:rsidRPr="0065255D">
              <w:rPr>
                <w:bCs/>
                <w:sz w:val="20"/>
                <w:szCs w:val="20"/>
              </w:rPr>
              <w:lastRenderedPageBreak/>
              <w:t>Obesity Strategy</w:t>
            </w:r>
          </w:p>
        </w:tc>
        <w:tc>
          <w:tcPr>
            <w:tcW w:w="3525" w:type="dxa"/>
          </w:tcPr>
          <w:p w:rsidR="00AC3381" w:rsidRPr="0065255D" w:rsidRDefault="00AC3381" w:rsidP="00863264">
            <w:pPr>
              <w:pStyle w:val="Default"/>
              <w:jc w:val="both"/>
              <w:rPr>
                <w:bCs/>
                <w:sz w:val="20"/>
                <w:szCs w:val="20"/>
              </w:rPr>
            </w:pPr>
            <w:r w:rsidRPr="0065255D">
              <w:rPr>
                <w:bCs/>
                <w:sz w:val="20"/>
                <w:szCs w:val="20"/>
              </w:rPr>
              <w:t>Recommendation for further consultation with key stakeholders on co-design.</w:t>
            </w:r>
          </w:p>
        </w:tc>
        <w:tc>
          <w:tcPr>
            <w:tcW w:w="3306" w:type="dxa"/>
          </w:tcPr>
          <w:p w:rsidR="00AC3381" w:rsidRPr="0065255D" w:rsidRDefault="00AC3381" w:rsidP="00AF6240">
            <w:pPr>
              <w:pStyle w:val="Default"/>
              <w:jc w:val="both"/>
              <w:rPr>
                <w:bCs/>
                <w:sz w:val="20"/>
                <w:szCs w:val="20"/>
              </w:rPr>
            </w:pPr>
            <w:r w:rsidRPr="0065255D">
              <w:rPr>
                <w:bCs/>
                <w:sz w:val="20"/>
                <w:szCs w:val="20"/>
              </w:rPr>
              <w:t xml:space="preserve">Paper deferred.  Consumer Council, Population Health and </w:t>
            </w:r>
            <w:r w:rsidR="006564DF">
              <w:rPr>
                <w:bCs/>
                <w:sz w:val="20"/>
                <w:szCs w:val="20"/>
              </w:rPr>
              <w:t>Māori</w:t>
            </w:r>
            <w:r w:rsidRPr="0065255D">
              <w:rPr>
                <w:bCs/>
                <w:sz w:val="20"/>
                <w:szCs w:val="20"/>
              </w:rPr>
              <w:t xml:space="preserve"> Health to work on making the strategy more effective</w:t>
            </w:r>
            <w:r w:rsidR="00FC0E1A">
              <w:rPr>
                <w:bCs/>
                <w:sz w:val="20"/>
                <w:szCs w:val="20"/>
              </w:rPr>
              <w:t xml:space="preserve"> before returning to MRB for endorsement</w:t>
            </w:r>
            <w:r w:rsidRPr="0065255D">
              <w:rPr>
                <w:bCs/>
                <w:sz w:val="20"/>
                <w:szCs w:val="20"/>
              </w:rPr>
              <w:t>.</w:t>
            </w:r>
          </w:p>
        </w:tc>
      </w:tr>
      <w:tr w:rsidR="00AC3381" w:rsidRPr="0065255D" w:rsidTr="00863264">
        <w:tc>
          <w:tcPr>
            <w:tcW w:w="2798" w:type="dxa"/>
          </w:tcPr>
          <w:p w:rsidR="00AC3381" w:rsidRPr="0065255D" w:rsidRDefault="00AC3381" w:rsidP="00863264">
            <w:pPr>
              <w:pStyle w:val="Default"/>
              <w:jc w:val="both"/>
              <w:rPr>
                <w:bCs/>
                <w:sz w:val="20"/>
                <w:szCs w:val="20"/>
              </w:rPr>
            </w:pPr>
            <w:r w:rsidRPr="0065255D">
              <w:rPr>
                <w:bCs/>
                <w:sz w:val="20"/>
                <w:szCs w:val="20"/>
              </w:rPr>
              <w:t>Travel Plan</w:t>
            </w:r>
          </w:p>
        </w:tc>
        <w:tc>
          <w:tcPr>
            <w:tcW w:w="3525" w:type="dxa"/>
          </w:tcPr>
          <w:p w:rsidR="00AC3381" w:rsidRDefault="00AC3381" w:rsidP="00AF6240">
            <w:pPr>
              <w:pStyle w:val="Default"/>
              <w:jc w:val="both"/>
              <w:rPr>
                <w:bCs/>
                <w:sz w:val="20"/>
                <w:szCs w:val="20"/>
              </w:rPr>
            </w:pPr>
            <w:r w:rsidRPr="0065255D">
              <w:rPr>
                <w:bCs/>
                <w:sz w:val="20"/>
                <w:szCs w:val="20"/>
              </w:rPr>
              <w:t xml:space="preserve">Noted several considerations to be reflected in </w:t>
            </w:r>
            <w:r w:rsidR="001906B9" w:rsidRPr="0065255D">
              <w:rPr>
                <w:bCs/>
                <w:sz w:val="20"/>
                <w:szCs w:val="20"/>
              </w:rPr>
              <w:t>finalisation</w:t>
            </w:r>
            <w:r w:rsidRPr="0065255D">
              <w:rPr>
                <w:bCs/>
                <w:sz w:val="20"/>
                <w:szCs w:val="20"/>
              </w:rPr>
              <w:t xml:space="preserve"> of the paper.</w:t>
            </w:r>
          </w:p>
          <w:p w:rsidR="00AF6240" w:rsidRPr="0065255D" w:rsidRDefault="00AF6240" w:rsidP="00AF6240">
            <w:pPr>
              <w:pStyle w:val="Default"/>
              <w:jc w:val="both"/>
              <w:rPr>
                <w:bCs/>
                <w:sz w:val="20"/>
                <w:szCs w:val="20"/>
              </w:rPr>
            </w:pPr>
          </w:p>
          <w:p w:rsidR="00AC3381" w:rsidRPr="0065255D" w:rsidRDefault="00AC3381" w:rsidP="00AF6240">
            <w:pPr>
              <w:pStyle w:val="Default"/>
              <w:jc w:val="both"/>
              <w:rPr>
                <w:bCs/>
                <w:sz w:val="20"/>
                <w:szCs w:val="20"/>
              </w:rPr>
            </w:pPr>
            <w:r w:rsidRPr="0065255D">
              <w:rPr>
                <w:bCs/>
                <w:sz w:val="20"/>
                <w:szCs w:val="20"/>
              </w:rPr>
              <w:t>Issues were fed</w:t>
            </w:r>
            <w:r w:rsidR="00FC0E1A">
              <w:rPr>
                <w:bCs/>
                <w:sz w:val="20"/>
                <w:szCs w:val="20"/>
              </w:rPr>
              <w:t xml:space="preserve"> </w:t>
            </w:r>
            <w:r w:rsidRPr="0065255D">
              <w:rPr>
                <w:bCs/>
                <w:sz w:val="20"/>
                <w:szCs w:val="20"/>
              </w:rPr>
              <w:t xml:space="preserve">back and a response from the COO was requested.  </w:t>
            </w:r>
          </w:p>
        </w:tc>
        <w:tc>
          <w:tcPr>
            <w:tcW w:w="3306" w:type="dxa"/>
          </w:tcPr>
          <w:p w:rsidR="00AF6240" w:rsidRDefault="00AF6240" w:rsidP="00863264">
            <w:pPr>
              <w:pStyle w:val="Default"/>
              <w:jc w:val="both"/>
              <w:rPr>
                <w:bCs/>
                <w:sz w:val="20"/>
                <w:szCs w:val="20"/>
              </w:rPr>
            </w:pPr>
            <w:r>
              <w:rPr>
                <w:bCs/>
                <w:sz w:val="20"/>
                <w:szCs w:val="20"/>
              </w:rPr>
              <w:t>Board noted MRBs considerations and approved the plan</w:t>
            </w:r>
            <w:r w:rsidR="00FC0E1A">
              <w:rPr>
                <w:bCs/>
                <w:sz w:val="20"/>
                <w:szCs w:val="20"/>
              </w:rPr>
              <w:t xml:space="preserve"> and requested the COOs feedback to issues highlighted</w:t>
            </w:r>
            <w:r>
              <w:rPr>
                <w:bCs/>
                <w:sz w:val="20"/>
                <w:szCs w:val="20"/>
              </w:rPr>
              <w:t>.</w:t>
            </w:r>
          </w:p>
          <w:p w:rsidR="00AF6240" w:rsidRDefault="00AF6240" w:rsidP="00863264">
            <w:pPr>
              <w:pStyle w:val="Default"/>
              <w:jc w:val="both"/>
              <w:rPr>
                <w:bCs/>
                <w:sz w:val="20"/>
                <w:szCs w:val="20"/>
              </w:rPr>
            </w:pPr>
          </w:p>
          <w:p w:rsidR="00AC3381" w:rsidRPr="0065255D" w:rsidRDefault="00AC3381" w:rsidP="00DF7AD0">
            <w:pPr>
              <w:pStyle w:val="Default"/>
              <w:jc w:val="both"/>
              <w:rPr>
                <w:bCs/>
                <w:sz w:val="20"/>
                <w:szCs w:val="20"/>
              </w:rPr>
            </w:pPr>
            <w:r w:rsidRPr="0065255D">
              <w:rPr>
                <w:bCs/>
                <w:sz w:val="20"/>
                <w:szCs w:val="20"/>
              </w:rPr>
              <w:t xml:space="preserve">Refer to </w:t>
            </w:r>
            <w:r w:rsidR="006564DF" w:rsidRPr="0065255D">
              <w:rPr>
                <w:bCs/>
                <w:sz w:val="20"/>
                <w:szCs w:val="20"/>
              </w:rPr>
              <w:t>Appendix</w:t>
            </w:r>
            <w:r w:rsidRPr="0065255D">
              <w:rPr>
                <w:bCs/>
                <w:sz w:val="20"/>
                <w:szCs w:val="20"/>
              </w:rPr>
              <w:t xml:space="preserve"> 1, Travel Plan Feedback to MRB by </w:t>
            </w:r>
            <w:r w:rsidR="00DF7AD0">
              <w:rPr>
                <w:bCs/>
                <w:sz w:val="20"/>
                <w:szCs w:val="20"/>
              </w:rPr>
              <w:t>Sharon Mason (Chief Operating Officer)</w:t>
            </w:r>
            <w:r w:rsidRPr="0065255D">
              <w:rPr>
                <w:bCs/>
                <w:sz w:val="20"/>
                <w:szCs w:val="20"/>
              </w:rPr>
              <w:t>.</w:t>
            </w:r>
          </w:p>
        </w:tc>
      </w:tr>
      <w:tr w:rsidR="00AC3381" w:rsidRPr="0065255D" w:rsidTr="00863264">
        <w:tc>
          <w:tcPr>
            <w:tcW w:w="2798" w:type="dxa"/>
          </w:tcPr>
          <w:p w:rsidR="00AC3381" w:rsidRPr="0065255D" w:rsidRDefault="00FC0E1A" w:rsidP="00863264">
            <w:pPr>
              <w:pStyle w:val="Default"/>
              <w:jc w:val="both"/>
              <w:rPr>
                <w:bCs/>
                <w:sz w:val="20"/>
                <w:szCs w:val="20"/>
              </w:rPr>
            </w:pPr>
            <w:r>
              <w:rPr>
                <w:bCs/>
                <w:sz w:val="20"/>
                <w:szCs w:val="20"/>
              </w:rPr>
              <w:t>Living Wage in HBDHB</w:t>
            </w:r>
          </w:p>
        </w:tc>
        <w:tc>
          <w:tcPr>
            <w:tcW w:w="3525" w:type="dxa"/>
          </w:tcPr>
          <w:p w:rsidR="00AC3381" w:rsidRPr="0065255D" w:rsidRDefault="0075736F" w:rsidP="00FC0E1A">
            <w:pPr>
              <w:pStyle w:val="Default"/>
              <w:jc w:val="both"/>
              <w:rPr>
                <w:bCs/>
                <w:sz w:val="20"/>
                <w:szCs w:val="20"/>
              </w:rPr>
            </w:pPr>
            <w:r>
              <w:rPr>
                <w:bCs/>
                <w:sz w:val="20"/>
                <w:szCs w:val="20"/>
              </w:rPr>
              <w:t>C</w:t>
            </w:r>
            <w:r w:rsidR="00AC3381" w:rsidRPr="0065255D">
              <w:rPr>
                <w:bCs/>
                <w:sz w:val="20"/>
                <w:szCs w:val="20"/>
              </w:rPr>
              <w:t>oncerns about some s</w:t>
            </w:r>
            <w:r w:rsidR="00AF6240">
              <w:rPr>
                <w:bCs/>
                <w:sz w:val="20"/>
                <w:szCs w:val="20"/>
              </w:rPr>
              <w:t xml:space="preserve">taff who are </w:t>
            </w:r>
            <w:r w:rsidR="00FC0E1A">
              <w:rPr>
                <w:bCs/>
                <w:sz w:val="20"/>
                <w:szCs w:val="20"/>
              </w:rPr>
              <w:t>on less than the</w:t>
            </w:r>
            <w:r w:rsidR="00AF6240">
              <w:rPr>
                <w:bCs/>
                <w:sz w:val="20"/>
                <w:szCs w:val="20"/>
              </w:rPr>
              <w:t xml:space="preserve"> living wage</w:t>
            </w:r>
            <w:r>
              <w:rPr>
                <w:bCs/>
                <w:sz w:val="20"/>
                <w:szCs w:val="20"/>
              </w:rPr>
              <w:t xml:space="preserve"> (This was included in the Travel Plan feedback).</w:t>
            </w:r>
          </w:p>
        </w:tc>
        <w:tc>
          <w:tcPr>
            <w:tcW w:w="3306" w:type="dxa"/>
          </w:tcPr>
          <w:p w:rsidR="00AC3381" w:rsidRDefault="00AC3381" w:rsidP="00AF6240">
            <w:pPr>
              <w:pStyle w:val="Default"/>
              <w:jc w:val="both"/>
              <w:rPr>
                <w:bCs/>
                <w:sz w:val="20"/>
                <w:szCs w:val="20"/>
              </w:rPr>
            </w:pPr>
            <w:r w:rsidRPr="0065255D">
              <w:rPr>
                <w:bCs/>
                <w:sz w:val="20"/>
                <w:szCs w:val="20"/>
              </w:rPr>
              <w:t>Discussions commenced</w:t>
            </w:r>
            <w:r w:rsidR="00AF6240">
              <w:rPr>
                <w:bCs/>
                <w:sz w:val="20"/>
                <w:szCs w:val="20"/>
              </w:rPr>
              <w:t xml:space="preserve"> to address this matter</w:t>
            </w:r>
            <w:r w:rsidRPr="0065255D">
              <w:rPr>
                <w:bCs/>
                <w:sz w:val="20"/>
                <w:szCs w:val="20"/>
              </w:rPr>
              <w:t>.</w:t>
            </w:r>
          </w:p>
          <w:p w:rsidR="00A75BCE" w:rsidRDefault="00A75BCE" w:rsidP="00AF6240">
            <w:pPr>
              <w:pStyle w:val="Default"/>
              <w:jc w:val="both"/>
              <w:rPr>
                <w:bCs/>
                <w:sz w:val="20"/>
                <w:szCs w:val="20"/>
              </w:rPr>
            </w:pPr>
          </w:p>
          <w:p w:rsidR="00EE7FA0" w:rsidRDefault="00FC0E1A" w:rsidP="00EE7FA0">
            <w:pPr>
              <w:pStyle w:val="Default"/>
              <w:jc w:val="both"/>
              <w:rPr>
                <w:bCs/>
                <w:sz w:val="20"/>
                <w:szCs w:val="20"/>
              </w:rPr>
            </w:pPr>
            <w:r>
              <w:rPr>
                <w:bCs/>
                <w:sz w:val="20"/>
                <w:szCs w:val="20"/>
              </w:rPr>
              <w:t xml:space="preserve">A funding bid has been prepared by </w:t>
            </w:r>
            <w:r w:rsidR="00EE7FA0">
              <w:rPr>
                <w:bCs/>
                <w:sz w:val="20"/>
                <w:szCs w:val="20"/>
              </w:rPr>
              <w:t xml:space="preserve">the </w:t>
            </w:r>
            <w:r>
              <w:rPr>
                <w:bCs/>
                <w:sz w:val="20"/>
                <w:szCs w:val="20"/>
              </w:rPr>
              <w:t xml:space="preserve">GM </w:t>
            </w:r>
            <w:r w:rsidR="00183449">
              <w:rPr>
                <w:bCs/>
                <w:sz w:val="20"/>
                <w:szCs w:val="20"/>
              </w:rPr>
              <w:t>Māori</w:t>
            </w:r>
            <w:r>
              <w:rPr>
                <w:bCs/>
                <w:sz w:val="20"/>
                <w:szCs w:val="20"/>
              </w:rPr>
              <w:t xml:space="preserve"> Health and Director Allied Health for consideration in the new funding bid round.  </w:t>
            </w:r>
            <w:r w:rsidR="00EE7FA0">
              <w:rPr>
                <w:bCs/>
                <w:sz w:val="20"/>
                <w:szCs w:val="20"/>
              </w:rPr>
              <w:t xml:space="preserve">This will need to be considered against all other demand driven costs.  </w:t>
            </w:r>
          </w:p>
          <w:p w:rsidR="00FC0E1A" w:rsidRPr="0065255D" w:rsidRDefault="00FC0E1A" w:rsidP="00EE7FA0">
            <w:pPr>
              <w:pStyle w:val="Default"/>
              <w:jc w:val="both"/>
              <w:rPr>
                <w:bCs/>
                <w:sz w:val="20"/>
                <w:szCs w:val="20"/>
              </w:rPr>
            </w:pPr>
            <w:r>
              <w:rPr>
                <w:bCs/>
                <w:sz w:val="20"/>
                <w:szCs w:val="20"/>
              </w:rPr>
              <w:t xml:space="preserve">After </w:t>
            </w:r>
            <w:r w:rsidR="00BD44A1">
              <w:rPr>
                <w:bCs/>
                <w:sz w:val="20"/>
                <w:szCs w:val="20"/>
              </w:rPr>
              <w:t>its</w:t>
            </w:r>
            <w:r w:rsidR="00EE7FA0">
              <w:rPr>
                <w:bCs/>
                <w:sz w:val="20"/>
                <w:szCs w:val="20"/>
              </w:rPr>
              <w:t xml:space="preserve"> </w:t>
            </w:r>
            <w:r>
              <w:rPr>
                <w:bCs/>
                <w:sz w:val="20"/>
                <w:szCs w:val="20"/>
              </w:rPr>
              <w:t xml:space="preserve">request, MRB is now included into the process for new funding bids </w:t>
            </w:r>
          </w:p>
        </w:tc>
      </w:tr>
    </w:tbl>
    <w:p w:rsidR="00AC3381" w:rsidRDefault="00AC3381" w:rsidP="002A265B">
      <w:pPr>
        <w:pStyle w:val="Default"/>
        <w:jc w:val="both"/>
        <w:rPr>
          <w:bCs/>
          <w:sz w:val="22"/>
          <w:szCs w:val="22"/>
        </w:rPr>
      </w:pPr>
    </w:p>
    <w:p w:rsidR="0075736F" w:rsidRPr="0075736F" w:rsidRDefault="0075736F">
      <w:pPr>
        <w:rPr>
          <w:b/>
        </w:rPr>
      </w:pPr>
      <w:r>
        <w:rPr>
          <w:b/>
        </w:rPr>
        <w:t>PREPARATIONS FOR THE NEXT BOARD</w:t>
      </w:r>
    </w:p>
    <w:p w:rsidR="004162C8" w:rsidRDefault="008A01AB" w:rsidP="002A265B">
      <w:pPr>
        <w:pStyle w:val="Default"/>
        <w:jc w:val="both"/>
        <w:rPr>
          <w:bCs/>
          <w:sz w:val="22"/>
          <w:szCs w:val="22"/>
        </w:rPr>
      </w:pPr>
      <w:r>
        <w:rPr>
          <w:bCs/>
          <w:sz w:val="22"/>
          <w:szCs w:val="22"/>
        </w:rPr>
        <w:t>In</w:t>
      </w:r>
      <w:r w:rsidR="0086246A">
        <w:rPr>
          <w:bCs/>
          <w:sz w:val="22"/>
          <w:szCs w:val="22"/>
        </w:rPr>
        <w:t xml:space="preserve"> my report to the Board in December, </w:t>
      </w:r>
      <w:r w:rsidR="001906B9">
        <w:rPr>
          <w:bCs/>
          <w:sz w:val="22"/>
          <w:szCs w:val="22"/>
        </w:rPr>
        <w:t>I mention</w:t>
      </w:r>
      <w:r w:rsidR="0053209F">
        <w:rPr>
          <w:bCs/>
          <w:sz w:val="22"/>
          <w:szCs w:val="22"/>
        </w:rPr>
        <w:t>ed</w:t>
      </w:r>
      <w:r w:rsidR="001906B9">
        <w:rPr>
          <w:bCs/>
          <w:sz w:val="22"/>
          <w:szCs w:val="22"/>
        </w:rPr>
        <w:t xml:space="preserve"> </w:t>
      </w:r>
      <w:r w:rsidR="006564DF">
        <w:rPr>
          <w:bCs/>
          <w:sz w:val="22"/>
          <w:szCs w:val="22"/>
        </w:rPr>
        <w:t>our</w:t>
      </w:r>
      <w:r w:rsidR="001906B9">
        <w:rPr>
          <w:bCs/>
          <w:sz w:val="22"/>
          <w:szCs w:val="22"/>
        </w:rPr>
        <w:t xml:space="preserve"> </w:t>
      </w:r>
      <w:r w:rsidR="004162C8">
        <w:rPr>
          <w:bCs/>
          <w:sz w:val="22"/>
          <w:szCs w:val="22"/>
        </w:rPr>
        <w:t>discussion about</w:t>
      </w:r>
      <w:r w:rsidR="0075736F">
        <w:rPr>
          <w:bCs/>
          <w:sz w:val="22"/>
          <w:szCs w:val="22"/>
        </w:rPr>
        <w:t xml:space="preserve"> </w:t>
      </w:r>
      <w:r w:rsidR="00E46EA9">
        <w:rPr>
          <w:bCs/>
          <w:sz w:val="22"/>
          <w:szCs w:val="22"/>
        </w:rPr>
        <w:t>2016</w:t>
      </w:r>
      <w:r w:rsidR="00836E65">
        <w:rPr>
          <w:bCs/>
          <w:sz w:val="22"/>
          <w:szCs w:val="22"/>
        </w:rPr>
        <w:t xml:space="preserve"> being our </w:t>
      </w:r>
      <w:r w:rsidR="00D722B5">
        <w:rPr>
          <w:bCs/>
          <w:sz w:val="22"/>
          <w:szCs w:val="22"/>
        </w:rPr>
        <w:t>final year for this</w:t>
      </w:r>
      <w:r w:rsidR="00836E65">
        <w:rPr>
          <w:bCs/>
          <w:sz w:val="22"/>
          <w:szCs w:val="22"/>
        </w:rPr>
        <w:t xml:space="preserve"> term</w:t>
      </w:r>
      <w:r w:rsidR="004162C8">
        <w:rPr>
          <w:bCs/>
          <w:sz w:val="22"/>
          <w:szCs w:val="22"/>
        </w:rPr>
        <w:t xml:space="preserve"> and </w:t>
      </w:r>
      <w:r w:rsidR="00836E65">
        <w:rPr>
          <w:bCs/>
          <w:sz w:val="22"/>
          <w:szCs w:val="22"/>
        </w:rPr>
        <w:t xml:space="preserve">the importance </w:t>
      </w:r>
      <w:r w:rsidR="004162C8">
        <w:rPr>
          <w:bCs/>
          <w:sz w:val="22"/>
          <w:szCs w:val="22"/>
        </w:rPr>
        <w:t xml:space="preserve">of </w:t>
      </w:r>
      <w:r>
        <w:rPr>
          <w:bCs/>
          <w:sz w:val="22"/>
          <w:szCs w:val="22"/>
        </w:rPr>
        <w:t>ensur</w:t>
      </w:r>
      <w:r w:rsidR="00836E65">
        <w:rPr>
          <w:bCs/>
          <w:sz w:val="22"/>
          <w:szCs w:val="22"/>
        </w:rPr>
        <w:t>ing</w:t>
      </w:r>
      <w:r>
        <w:rPr>
          <w:bCs/>
          <w:sz w:val="22"/>
          <w:szCs w:val="22"/>
        </w:rPr>
        <w:t xml:space="preserve"> the pathway for improvement of </w:t>
      </w:r>
      <w:r w:rsidR="006564DF">
        <w:rPr>
          <w:bCs/>
          <w:sz w:val="22"/>
          <w:szCs w:val="22"/>
        </w:rPr>
        <w:t>Māori</w:t>
      </w:r>
      <w:r>
        <w:rPr>
          <w:bCs/>
          <w:sz w:val="22"/>
          <w:szCs w:val="22"/>
        </w:rPr>
        <w:t xml:space="preserve"> health </w:t>
      </w:r>
      <w:r w:rsidR="0086246A">
        <w:rPr>
          <w:bCs/>
          <w:sz w:val="22"/>
          <w:szCs w:val="22"/>
        </w:rPr>
        <w:t>be set-up for the next MRB</w:t>
      </w:r>
      <w:r w:rsidR="00193D0D">
        <w:rPr>
          <w:bCs/>
          <w:sz w:val="22"/>
          <w:szCs w:val="22"/>
        </w:rPr>
        <w:t xml:space="preserve"> </w:t>
      </w:r>
      <w:r w:rsidR="00D722B5">
        <w:rPr>
          <w:bCs/>
          <w:sz w:val="22"/>
          <w:szCs w:val="22"/>
        </w:rPr>
        <w:t>B</w:t>
      </w:r>
      <w:r w:rsidR="00193D0D">
        <w:rPr>
          <w:bCs/>
          <w:sz w:val="22"/>
          <w:szCs w:val="22"/>
        </w:rPr>
        <w:t>oard</w:t>
      </w:r>
      <w:r w:rsidR="001906B9">
        <w:rPr>
          <w:bCs/>
          <w:sz w:val="22"/>
          <w:szCs w:val="22"/>
        </w:rPr>
        <w:t xml:space="preserve">.  </w:t>
      </w:r>
      <w:r w:rsidR="00D722B5">
        <w:rPr>
          <w:bCs/>
          <w:sz w:val="22"/>
          <w:szCs w:val="22"/>
        </w:rPr>
        <w:t>L</w:t>
      </w:r>
      <w:r w:rsidR="006564DF">
        <w:rPr>
          <w:bCs/>
          <w:sz w:val="22"/>
          <w:szCs w:val="22"/>
        </w:rPr>
        <w:t xml:space="preserve">isted </w:t>
      </w:r>
      <w:r w:rsidR="00D722B5">
        <w:rPr>
          <w:bCs/>
          <w:sz w:val="22"/>
          <w:szCs w:val="22"/>
        </w:rPr>
        <w:t xml:space="preserve">was </w:t>
      </w:r>
      <w:r w:rsidR="006564DF">
        <w:rPr>
          <w:bCs/>
          <w:sz w:val="22"/>
          <w:szCs w:val="22"/>
        </w:rPr>
        <w:t>wh</w:t>
      </w:r>
      <w:r w:rsidR="001906B9">
        <w:rPr>
          <w:bCs/>
          <w:sz w:val="22"/>
          <w:szCs w:val="22"/>
        </w:rPr>
        <w:t xml:space="preserve">at we considered valuable to assist in preparing the next MRB </w:t>
      </w:r>
      <w:r w:rsidR="00D722B5">
        <w:rPr>
          <w:bCs/>
          <w:sz w:val="22"/>
          <w:szCs w:val="22"/>
        </w:rPr>
        <w:t>B</w:t>
      </w:r>
      <w:r w:rsidR="001906B9">
        <w:rPr>
          <w:bCs/>
          <w:sz w:val="22"/>
          <w:szCs w:val="22"/>
        </w:rPr>
        <w:t>oard</w:t>
      </w:r>
      <w:r w:rsidR="004162C8">
        <w:rPr>
          <w:bCs/>
          <w:sz w:val="22"/>
          <w:szCs w:val="22"/>
        </w:rPr>
        <w:t>:</w:t>
      </w:r>
    </w:p>
    <w:p w:rsidR="00CE1872" w:rsidRDefault="004162C8" w:rsidP="00183449">
      <w:pPr>
        <w:pStyle w:val="Default"/>
        <w:numPr>
          <w:ilvl w:val="0"/>
          <w:numId w:val="19"/>
        </w:numPr>
        <w:spacing w:before="60"/>
        <w:ind w:left="567" w:hanging="567"/>
        <w:jc w:val="both"/>
        <w:rPr>
          <w:bCs/>
          <w:sz w:val="22"/>
          <w:szCs w:val="22"/>
        </w:rPr>
      </w:pPr>
      <w:r>
        <w:rPr>
          <w:bCs/>
          <w:sz w:val="22"/>
          <w:szCs w:val="22"/>
        </w:rPr>
        <w:t xml:space="preserve">MRB having </w:t>
      </w:r>
      <w:r w:rsidR="006564DF">
        <w:rPr>
          <w:bCs/>
          <w:sz w:val="22"/>
          <w:szCs w:val="22"/>
        </w:rPr>
        <w:t>ownership</w:t>
      </w:r>
      <w:r>
        <w:rPr>
          <w:bCs/>
          <w:sz w:val="22"/>
          <w:szCs w:val="22"/>
        </w:rPr>
        <w:t xml:space="preserve"> of its own agenda</w:t>
      </w:r>
      <w:r w:rsidR="00CE1872">
        <w:rPr>
          <w:bCs/>
          <w:sz w:val="22"/>
          <w:szCs w:val="22"/>
        </w:rPr>
        <w:t xml:space="preserve"> co designing it with DHB</w:t>
      </w:r>
      <w:r>
        <w:rPr>
          <w:bCs/>
          <w:sz w:val="22"/>
          <w:szCs w:val="22"/>
        </w:rPr>
        <w:t xml:space="preserve">.  </w:t>
      </w:r>
    </w:p>
    <w:p w:rsidR="001E6B92" w:rsidRDefault="004162C8" w:rsidP="00183449">
      <w:pPr>
        <w:pStyle w:val="Default"/>
        <w:numPr>
          <w:ilvl w:val="0"/>
          <w:numId w:val="19"/>
        </w:numPr>
        <w:spacing w:before="60"/>
        <w:ind w:left="567" w:hanging="567"/>
        <w:jc w:val="both"/>
        <w:rPr>
          <w:bCs/>
          <w:sz w:val="22"/>
          <w:szCs w:val="22"/>
        </w:rPr>
      </w:pPr>
      <w:r>
        <w:rPr>
          <w:bCs/>
          <w:sz w:val="22"/>
          <w:szCs w:val="22"/>
        </w:rPr>
        <w:t xml:space="preserve">Papers passing through MRB </w:t>
      </w:r>
      <w:r w:rsidR="001906B9">
        <w:rPr>
          <w:bCs/>
          <w:sz w:val="22"/>
          <w:szCs w:val="22"/>
        </w:rPr>
        <w:t>to</w:t>
      </w:r>
      <w:r>
        <w:rPr>
          <w:bCs/>
          <w:sz w:val="22"/>
          <w:szCs w:val="22"/>
        </w:rPr>
        <w:t xml:space="preserve"> clearly identify how it will reduce inequity and improve outcomes for Māori.</w:t>
      </w:r>
    </w:p>
    <w:p w:rsidR="004162C8" w:rsidRDefault="001906B9" w:rsidP="00183449">
      <w:pPr>
        <w:pStyle w:val="Default"/>
        <w:numPr>
          <w:ilvl w:val="0"/>
          <w:numId w:val="19"/>
        </w:numPr>
        <w:spacing w:before="60"/>
        <w:ind w:left="567" w:hanging="567"/>
        <w:jc w:val="both"/>
        <w:rPr>
          <w:bCs/>
          <w:sz w:val="22"/>
          <w:szCs w:val="22"/>
        </w:rPr>
      </w:pPr>
      <w:r>
        <w:rPr>
          <w:bCs/>
          <w:sz w:val="22"/>
          <w:szCs w:val="22"/>
        </w:rPr>
        <w:t>MRB to c</w:t>
      </w:r>
      <w:r w:rsidR="004162C8">
        <w:rPr>
          <w:bCs/>
          <w:sz w:val="22"/>
          <w:szCs w:val="22"/>
        </w:rPr>
        <w:t xml:space="preserve">onsider how we will work more collaboratively with leaders in the intersectoral field at an MRB level to progress </w:t>
      </w:r>
      <w:r w:rsidR="006564DF">
        <w:rPr>
          <w:bCs/>
          <w:sz w:val="22"/>
          <w:szCs w:val="22"/>
        </w:rPr>
        <w:t>Whānau</w:t>
      </w:r>
      <w:r w:rsidR="004162C8">
        <w:rPr>
          <w:bCs/>
          <w:sz w:val="22"/>
          <w:szCs w:val="22"/>
        </w:rPr>
        <w:t xml:space="preserve"> Ora</w:t>
      </w:r>
    </w:p>
    <w:p w:rsidR="001906B9" w:rsidRDefault="001906B9" w:rsidP="00183449">
      <w:pPr>
        <w:pStyle w:val="Default"/>
        <w:numPr>
          <w:ilvl w:val="0"/>
          <w:numId w:val="19"/>
        </w:numPr>
        <w:spacing w:before="60"/>
        <w:ind w:left="567" w:hanging="567"/>
        <w:jc w:val="both"/>
        <w:rPr>
          <w:bCs/>
          <w:sz w:val="22"/>
          <w:szCs w:val="22"/>
        </w:rPr>
      </w:pPr>
      <w:r>
        <w:rPr>
          <w:bCs/>
          <w:sz w:val="22"/>
          <w:szCs w:val="22"/>
        </w:rPr>
        <w:t>MRB to w</w:t>
      </w:r>
      <w:r w:rsidR="004162C8">
        <w:rPr>
          <w:bCs/>
          <w:sz w:val="22"/>
          <w:szCs w:val="22"/>
        </w:rPr>
        <w:t xml:space="preserve">ork from both a Kahungunu Plan and the DHB Plan for better health </w:t>
      </w:r>
      <w:r w:rsidR="00BD44A1">
        <w:rPr>
          <w:bCs/>
          <w:sz w:val="22"/>
          <w:szCs w:val="22"/>
        </w:rPr>
        <w:t>outcomes</w:t>
      </w:r>
      <w:r w:rsidR="006564DF">
        <w:rPr>
          <w:bCs/>
          <w:sz w:val="22"/>
          <w:szCs w:val="22"/>
        </w:rPr>
        <w:t xml:space="preserve"> </w:t>
      </w:r>
      <w:r w:rsidR="004162C8">
        <w:rPr>
          <w:bCs/>
          <w:sz w:val="22"/>
          <w:szCs w:val="22"/>
        </w:rPr>
        <w:t xml:space="preserve">for the entire </w:t>
      </w:r>
      <w:r>
        <w:rPr>
          <w:bCs/>
          <w:sz w:val="22"/>
          <w:szCs w:val="22"/>
        </w:rPr>
        <w:t>Haw</w:t>
      </w:r>
      <w:r w:rsidR="004162C8">
        <w:rPr>
          <w:bCs/>
          <w:sz w:val="22"/>
          <w:szCs w:val="22"/>
        </w:rPr>
        <w:t>k</w:t>
      </w:r>
      <w:r>
        <w:rPr>
          <w:bCs/>
          <w:sz w:val="22"/>
          <w:szCs w:val="22"/>
        </w:rPr>
        <w:t>e</w:t>
      </w:r>
      <w:r w:rsidR="004162C8">
        <w:rPr>
          <w:bCs/>
          <w:sz w:val="22"/>
          <w:szCs w:val="22"/>
        </w:rPr>
        <w:t>’s Bay population.</w:t>
      </w:r>
    </w:p>
    <w:p w:rsidR="006564DF" w:rsidRPr="00A75BCE" w:rsidRDefault="006564DF" w:rsidP="006564DF">
      <w:pPr>
        <w:pStyle w:val="Default"/>
        <w:jc w:val="both"/>
        <w:rPr>
          <w:bCs/>
          <w:sz w:val="22"/>
          <w:szCs w:val="22"/>
        </w:rPr>
      </w:pPr>
    </w:p>
    <w:p w:rsidR="00CD0F59" w:rsidRDefault="00757E3F" w:rsidP="006564DF">
      <w:pPr>
        <w:pStyle w:val="Default"/>
        <w:jc w:val="both"/>
        <w:rPr>
          <w:sz w:val="22"/>
          <w:szCs w:val="22"/>
        </w:rPr>
      </w:pPr>
      <w:r w:rsidRPr="00A75BCE">
        <w:rPr>
          <w:sz w:val="22"/>
          <w:szCs w:val="22"/>
        </w:rPr>
        <w:t>Whil</w:t>
      </w:r>
      <w:r w:rsidR="00BD44A1">
        <w:rPr>
          <w:sz w:val="22"/>
          <w:szCs w:val="22"/>
        </w:rPr>
        <w:t>st</w:t>
      </w:r>
      <w:r w:rsidRPr="00A75BCE">
        <w:rPr>
          <w:sz w:val="22"/>
          <w:szCs w:val="22"/>
        </w:rPr>
        <w:t xml:space="preserve"> there is still a lot to do, we </w:t>
      </w:r>
      <w:r w:rsidR="00677FEE" w:rsidRPr="00A75BCE">
        <w:rPr>
          <w:sz w:val="22"/>
          <w:szCs w:val="22"/>
        </w:rPr>
        <w:t>should</w:t>
      </w:r>
      <w:r w:rsidRPr="00A75BCE">
        <w:rPr>
          <w:sz w:val="22"/>
          <w:szCs w:val="22"/>
        </w:rPr>
        <w:t xml:space="preserve"> celebrate what we have achieved and what effect we are having on services.  The health system is a big one spending over $1 million dollars a day.  Our changes may be slow but they are significant.  Your leadership and determination to ensure our people get the best services in health</w:t>
      </w:r>
      <w:r w:rsidR="00677FEE" w:rsidRPr="00A75BCE">
        <w:rPr>
          <w:sz w:val="22"/>
          <w:szCs w:val="22"/>
        </w:rPr>
        <w:t xml:space="preserve"> in my mind</w:t>
      </w:r>
      <w:r w:rsidRPr="00A75BCE">
        <w:rPr>
          <w:sz w:val="22"/>
          <w:szCs w:val="22"/>
        </w:rPr>
        <w:t xml:space="preserve">, is making a difference.   </w:t>
      </w:r>
    </w:p>
    <w:p w:rsidR="00CD0F59" w:rsidRDefault="00CD0F59">
      <w:pPr>
        <w:rPr>
          <w:rFonts w:cs="Arial"/>
          <w:color w:val="000000"/>
          <w:szCs w:val="22"/>
          <w:lang w:eastAsia="en-NZ"/>
        </w:rPr>
      </w:pPr>
      <w:r>
        <w:rPr>
          <w:szCs w:val="22"/>
        </w:rPr>
        <w:br w:type="page"/>
      </w:r>
    </w:p>
    <w:p w:rsidR="006564DF" w:rsidRPr="00A75BCE" w:rsidRDefault="006564DF" w:rsidP="006564DF">
      <w:pPr>
        <w:pStyle w:val="Default"/>
        <w:jc w:val="both"/>
        <w:rPr>
          <w:bCs/>
          <w:sz w:val="22"/>
          <w:szCs w:val="22"/>
        </w:rPr>
      </w:pPr>
    </w:p>
    <w:sectPr w:rsidR="006564DF" w:rsidRPr="00A75BCE" w:rsidSect="00E97570">
      <w:headerReference w:type="default" r:id="rId8"/>
      <w:footerReference w:type="even" r:id="rId9"/>
      <w:footerReference w:type="default" r:id="rId10"/>
      <w:footerReference w:type="first" r:id="rId11"/>
      <w:pgSz w:w="11907" w:h="16840" w:code="9"/>
      <w:pgMar w:top="1144" w:right="1134" w:bottom="1135" w:left="1134" w:header="720" w:footer="596"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09" w:rsidRDefault="00990709">
      <w:r>
        <w:separator/>
      </w:r>
    </w:p>
  </w:endnote>
  <w:endnote w:type="continuationSeparator" w:id="0">
    <w:p w:rsidR="00990709" w:rsidRDefault="0099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8" w:rsidRPr="005947B8" w:rsidRDefault="00641F68" w:rsidP="00641F68">
    <w:pPr>
      <w:pStyle w:val="Footer"/>
      <w:tabs>
        <w:tab w:val="clear" w:pos="4819"/>
        <w:tab w:val="clear" w:pos="9071"/>
        <w:tab w:val="right" w:pos="9639"/>
      </w:tabs>
      <w:jc w:val="right"/>
    </w:pPr>
    <w:r>
      <w:rPr>
        <w:rStyle w:val="PageNumber"/>
        <w:b/>
        <w:i/>
        <w:noProof/>
        <w:color w:val="A6A6A6" w:themeColor="background1" w:themeShade="A6"/>
        <w:sz w:val="20"/>
      </w:rPr>
      <w:tab/>
    </w:r>
    <w:r>
      <w:rPr>
        <w:snapToGrid w:val="0"/>
        <w:sz w:val="16"/>
        <w:lang w:val="en-US"/>
      </w:rPr>
      <w:t xml:space="preserve">Page </w:t>
    </w:r>
    <w:r>
      <w:rPr>
        <w:snapToGrid w:val="0"/>
        <w:sz w:val="16"/>
        <w:lang w:val="en-US"/>
      </w:rPr>
      <w:fldChar w:fldCharType="begin"/>
    </w:r>
    <w:r>
      <w:rPr>
        <w:snapToGrid w:val="0"/>
        <w:sz w:val="16"/>
        <w:lang w:val="en-US"/>
      </w:rPr>
      <w:instrText xml:space="preserve"> PAGE </w:instrText>
    </w:r>
    <w:r>
      <w:rPr>
        <w:snapToGrid w:val="0"/>
        <w:sz w:val="16"/>
        <w:lang w:val="en-US"/>
      </w:rPr>
      <w:fldChar w:fldCharType="separate"/>
    </w:r>
    <w:r w:rsidR="00943EDF">
      <w:rPr>
        <w:noProof/>
        <w:snapToGrid w:val="0"/>
        <w:sz w:val="16"/>
        <w:lang w:val="en-US"/>
      </w:rPr>
      <w:t>6</w:t>
    </w:r>
    <w:r>
      <w:rPr>
        <w:snapToGrid w:val="0"/>
        <w:sz w:val="16"/>
        <w:lang w:val="en-US"/>
      </w:rPr>
      <w:fldChar w:fldCharType="end"/>
    </w:r>
    <w:r>
      <w:rPr>
        <w:snapToGrid w:val="0"/>
        <w:sz w:val="16"/>
        <w:lang w:val="en-US"/>
      </w:rPr>
      <w:t xml:space="preserve"> of </w:t>
    </w:r>
    <w:r>
      <w:rPr>
        <w:snapToGrid w:val="0"/>
        <w:sz w:val="16"/>
        <w:lang w:val="en-US"/>
      </w:rPr>
      <w:fldChar w:fldCharType="begin"/>
    </w:r>
    <w:r>
      <w:rPr>
        <w:snapToGrid w:val="0"/>
        <w:sz w:val="16"/>
        <w:lang w:val="en-US"/>
      </w:rPr>
      <w:instrText xml:space="preserve"> NUMPAGES </w:instrText>
    </w:r>
    <w:r>
      <w:rPr>
        <w:snapToGrid w:val="0"/>
        <w:sz w:val="16"/>
        <w:lang w:val="en-US"/>
      </w:rPr>
      <w:fldChar w:fldCharType="separate"/>
    </w:r>
    <w:r w:rsidR="00943EDF">
      <w:rPr>
        <w:noProof/>
        <w:snapToGrid w:val="0"/>
        <w:sz w:val="16"/>
        <w:lang w:val="en-US"/>
      </w:rPr>
      <w:t>6</w:t>
    </w:r>
    <w:r>
      <w:rPr>
        <w:snapToGrid w:val="0"/>
        <w:sz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F68" w:rsidRPr="005947B8" w:rsidRDefault="00641F68" w:rsidP="00641F68">
    <w:pPr>
      <w:pStyle w:val="Footer"/>
      <w:tabs>
        <w:tab w:val="clear" w:pos="4819"/>
        <w:tab w:val="clear" w:pos="9071"/>
        <w:tab w:val="right" w:pos="9639"/>
      </w:tabs>
      <w:jc w:val="right"/>
    </w:pPr>
    <w:r>
      <w:rPr>
        <w:rStyle w:val="PageNumber"/>
        <w:b/>
        <w:i/>
        <w:noProof/>
        <w:color w:val="A6A6A6" w:themeColor="background1" w:themeShade="A6"/>
        <w:sz w:val="20"/>
      </w:rPr>
      <w:tab/>
    </w:r>
    <w:r>
      <w:rPr>
        <w:snapToGrid w:val="0"/>
        <w:sz w:val="16"/>
        <w:lang w:val="en-US"/>
      </w:rPr>
      <w:t xml:space="preserve">Page </w:t>
    </w:r>
    <w:r>
      <w:rPr>
        <w:snapToGrid w:val="0"/>
        <w:sz w:val="16"/>
        <w:lang w:val="en-US"/>
      </w:rPr>
      <w:fldChar w:fldCharType="begin"/>
    </w:r>
    <w:r>
      <w:rPr>
        <w:snapToGrid w:val="0"/>
        <w:sz w:val="16"/>
        <w:lang w:val="en-US"/>
      </w:rPr>
      <w:instrText xml:space="preserve"> PAGE </w:instrText>
    </w:r>
    <w:r>
      <w:rPr>
        <w:snapToGrid w:val="0"/>
        <w:sz w:val="16"/>
        <w:lang w:val="en-US"/>
      </w:rPr>
      <w:fldChar w:fldCharType="separate"/>
    </w:r>
    <w:r w:rsidR="00943EDF">
      <w:rPr>
        <w:noProof/>
        <w:snapToGrid w:val="0"/>
        <w:sz w:val="16"/>
        <w:lang w:val="en-US"/>
      </w:rPr>
      <w:t>1</w:t>
    </w:r>
    <w:r>
      <w:rPr>
        <w:snapToGrid w:val="0"/>
        <w:sz w:val="16"/>
        <w:lang w:val="en-US"/>
      </w:rPr>
      <w:fldChar w:fldCharType="end"/>
    </w:r>
    <w:r>
      <w:rPr>
        <w:snapToGrid w:val="0"/>
        <w:sz w:val="16"/>
        <w:lang w:val="en-US"/>
      </w:rPr>
      <w:t xml:space="preserve"> of </w:t>
    </w:r>
    <w:r>
      <w:rPr>
        <w:snapToGrid w:val="0"/>
        <w:sz w:val="16"/>
        <w:lang w:val="en-US"/>
      </w:rPr>
      <w:fldChar w:fldCharType="begin"/>
    </w:r>
    <w:r>
      <w:rPr>
        <w:snapToGrid w:val="0"/>
        <w:sz w:val="16"/>
        <w:lang w:val="en-US"/>
      </w:rPr>
      <w:instrText xml:space="preserve"> NUMPAGES </w:instrText>
    </w:r>
    <w:r>
      <w:rPr>
        <w:snapToGrid w:val="0"/>
        <w:sz w:val="16"/>
        <w:lang w:val="en-US"/>
      </w:rPr>
      <w:fldChar w:fldCharType="separate"/>
    </w:r>
    <w:r w:rsidR="00943EDF">
      <w:rPr>
        <w:noProof/>
        <w:snapToGrid w:val="0"/>
        <w:sz w:val="16"/>
        <w:lang w:val="en-US"/>
      </w:rPr>
      <w:t>6</w:t>
    </w:r>
    <w:r>
      <w:rPr>
        <w:snapToGrid w:val="0"/>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7B8" w:rsidRDefault="005947B8" w:rsidP="0095166B">
    <w:pPr>
      <w:pStyle w:val="Footer"/>
      <w:pBdr>
        <w:top w:val="single" w:sz="4" w:space="1" w:color="auto"/>
      </w:pBdr>
      <w:tabs>
        <w:tab w:val="clear" w:pos="4819"/>
        <w:tab w:val="clear" w:pos="9071"/>
        <w:tab w:val="right" w:pos="9639"/>
      </w:tabs>
      <w:jc w:val="right"/>
      <w:rPr>
        <w:rStyle w:val="PageNumber"/>
        <w:b/>
        <w:sz w:val="20"/>
      </w:rPr>
    </w:pPr>
  </w:p>
  <w:p w:rsidR="00090751" w:rsidRDefault="0095166B" w:rsidP="0095166B">
    <w:pPr>
      <w:pStyle w:val="Footer"/>
      <w:tabs>
        <w:tab w:val="clear" w:pos="4819"/>
        <w:tab w:val="clear" w:pos="9071"/>
        <w:tab w:val="right" w:pos="9639"/>
      </w:tabs>
    </w:pPr>
    <w:r>
      <w:rPr>
        <w:rStyle w:val="PageNumber"/>
        <w:noProof/>
        <w:color w:val="A6A6A6" w:themeColor="background1" w:themeShade="A6"/>
        <w:sz w:val="18"/>
      </w:rPr>
      <w:t xml:space="preserve">GM </w:t>
    </w:r>
    <w:r w:rsidR="00811BEF">
      <w:rPr>
        <w:rStyle w:val="PageNumber"/>
        <w:noProof/>
        <w:color w:val="A6A6A6" w:themeColor="background1" w:themeShade="A6"/>
        <w:sz w:val="18"/>
      </w:rPr>
      <w:t>Māori</w:t>
    </w:r>
    <w:r>
      <w:rPr>
        <w:rStyle w:val="PageNumber"/>
        <w:noProof/>
        <w:color w:val="A6A6A6" w:themeColor="background1" w:themeShade="A6"/>
        <w:sz w:val="18"/>
      </w:rPr>
      <w:t xml:space="preserve"> Health Report June 2015</w:t>
    </w:r>
    <w:r w:rsidR="005947B8">
      <w:rPr>
        <w:rStyle w:val="PageNumber"/>
        <w:b/>
        <w:i/>
        <w:noProof/>
        <w:color w:val="A6A6A6" w:themeColor="background1" w:themeShade="A6"/>
        <w:sz w:val="20"/>
      </w:rPr>
      <w:tab/>
    </w:r>
    <w:r w:rsidR="005947B8" w:rsidRPr="007D1F26">
      <w:rPr>
        <w:rStyle w:val="PageNumber"/>
        <w:b/>
        <w:sz w:val="20"/>
      </w:rPr>
      <w:fldChar w:fldCharType="begin"/>
    </w:r>
    <w:r w:rsidR="005947B8" w:rsidRPr="007D1F26">
      <w:rPr>
        <w:rStyle w:val="PageNumber"/>
        <w:b/>
        <w:sz w:val="20"/>
      </w:rPr>
      <w:instrText xml:space="preserve"> PAGE </w:instrText>
    </w:r>
    <w:r w:rsidR="005947B8" w:rsidRPr="007D1F26">
      <w:rPr>
        <w:rStyle w:val="PageNumber"/>
        <w:b/>
        <w:sz w:val="20"/>
      </w:rPr>
      <w:fldChar w:fldCharType="separate"/>
    </w:r>
    <w:r w:rsidR="00E97570">
      <w:rPr>
        <w:rStyle w:val="PageNumber"/>
        <w:b/>
        <w:noProof/>
        <w:sz w:val="20"/>
      </w:rPr>
      <w:t>1</w:t>
    </w:r>
    <w:r w:rsidR="005947B8" w:rsidRPr="007D1F26">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09" w:rsidRDefault="00990709">
      <w:r>
        <w:separator/>
      </w:r>
    </w:p>
  </w:footnote>
  <w:footnote w:type="continuationSeparator" w:id="0">
    <w:p w:rsidR="00990709" w:rsidRDefault="0099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F8" w:rsidRDefault="00A320F8" w:rsidP="005947B8">
    <w:pPr>
      <w:pStyle w:val="Heade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B55C0"/>
    <w:multiLevelType w:val="hybridMultilevel"/>
    <w:tmpl w:val="CE0C18BA"/>
    <w:lvl w:ilvl="0" w:tplc="DC8A2D20">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AD3A8D"/>
    <w:multiLevelType w:val="hybridMultilevel"/>
    <w:tmpl w:val="FC4ED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1032941"/>
    <w:multiLevelType w:val="hybridMultilevel"/>
    <w:tmpl w:val="9DBCD6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BC61721"/>
    <w:multiLevelType w:val="hybridMultilevel"/>
    <w:tmpl w:val="E676C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A85562"/>
    <w:multiLevelType w:val="hybridMultilevel"/>
    <w:tmpl w:val="A9D022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19D2321"/>
    <w:multiLevelType w:val="hybridMultilevel"/>
    <w:tmpl w:val="9F96D5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6">
    <w:nsid w:val="36312ED6"/>
    <w:multiLevelType w:val="hybridMultilevel"/>
    <w:tmpl w:val="BD0858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6A10141"/>
    <w:multiLevelType w:val="hybridMultilevel"/>
    <w:tmpl w:val="8C38B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3B9F0E14"/>
    <w:multiLevelType w:val="hybridMultilevel"/>
    <w:tmpl w:val="880E00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D982A7D"/>
    <w:multiLevelType w:val="hybridMultilevel"/>
    <w:tmpl w:val="4E1AB8A4"/>
    <w:lvl w:ilvl="0" w:tplc="67E0996C">
      <w:start w:val="1"/>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F962709"/>
    <w:multiLevelType w:val="hybridMultilevel"/>
    <w:tmpl w:val="93025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8941538"/>
    <w:multiLevelType w:val="hybridMultilevel"/>
    <w:tmpl w:val="E03634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C4B1AD4"/>
    <w:multiLevelType w:val="hybridMultilevel"/>
    <w:tmpl w:val="FF564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3680374"/>
    <w:multiLevelType w:val="hybridMultilevel"/>
    <w:tmpl w:val="66426D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5CFC686F"/>
    <w:multiLevelType w:val="hybridMultilevel"/>
    <w:tmpl w:val="74403B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13207E7"/>
    <w:multiLevelType w:val="hybridMultilevel"/>
    <w:tmpl w:val="9432D2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23B320E"/>
    <w:multiLevelType w:val="hybridMultilevel"/>
    <w:tmpl w:val="E1B69A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6D8979A7"/>
    <w:multiLevelType w:val="hybridMultilevel"/>
    <w:tmpl w:val="989655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13"/>
  </w:num>
  <w:num w:numId="6">
    <w:abstractNumId w:val="6"/>
  </w:num>
  <w:num w:numId="7">
    <w:abstractNumId w:val="4"/>
  </w:num>
  <w:num w:numId="8">
    <w:abstractNumId w:val="10"/>
  </w:num>
  <w:num w:numId="9">
    <w:abstractNumId w:val="7"/>
  </w:num>
  <w:num w:numId="10">
    <w:abstractNumId w:val="14"/>
  </w:num>
  <w:num w:numId="11">
    <w:abstractNumId w:val="17"/>
  </w:num>
  <w:num w:numId="12">
    <w:abstractNumId w:val="16"/>
  </w:num>
  <w:num w:numId="13">
    <w:abstractNumId w:val="2"/>
  </w:num>
  <w:num w:numId="14">
    <w:abstractNumId w:val="3"/>
  </w:num>
  <w:num w:numId="15">
    <w:abstractNumId w:val="11"/>
  </w:num>
  <w:num w:numId="16">
    <w:abstractNumId w:val="15"/>
  </w:num>
  <w:num w:numId="17">
    <w:abstractNumId w:val="8"/>
  </w:num>
  <w:num w:numId="18">
    <w:abstractNumId w:val="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F26"/>
    <w:rsid w:val="00007723"/>
    <w:rsid w:val="00012C20"/>
    <w:rsid w:val="00040D25"/>
    <w:rsid w:val="00047F89"/>
    <w:rsid w:val="00051DFC"/>
    <w:rsid w:val="0005525A"/>
    <w:rsid w:val="00056226"/>
    <w:rsid w:val="000726B5"/>
    <w:rsid w:val="00072F07"/>
    <w:rsid w:val="00082EFD"/>
    <w:rsid w:val="00090751"/>
    <w:rsid w:val="000A2CFC"/>
    <w:rsid w:val="000A614E"/>
    <w:rsid w:val="000B6064"/>
    <w:rsid w:val="000D6933"/>
    <w:rsid w:val="000E2143"/>
    <w:rsid w:val="000F4231"/>
    <w:rsid w:val="001074C0"/>
    <w:rsid w:val="00116BE1"/>
    <w:rsid w:val="001234A1"/>
    <w:rsid w:val="00133C7B"/>
    <w:rsid w:val="001402E4"/>
    <w:rsid w:val="00142C74"/>
    <w:rsid w:val="00160283"/>
    <w:rsid w:val="00183449"/>
    <w:rsid w:val="001906B9"/>
    <w:rsid w:val="00193D0D"/>
    <w:rsid w:val="00195C15"/>
    <w:rsid w:val="001A1FC3"/>
    <w:rsid w:val="001E6B92"/>
    <w:rsid w:val="001E6F4A"/>
    <w:rsid w:val="001E7158"/>
    <w:rsid w:val="001F1E15"/>
    <w:rsid w:val="001F1EBA"/>
    <w:rsid w:val="00221854"/>
    <w:rsid w:val="0023038B"/>
    <w:rsid w:val="002312A3"/>
    <w:rsid w:val="0023478E"/>
    <w:rsid w:val="0024472D"/>
    <w:rsid w:val="00252512"/>
    <w:rsid w:val="002550E0"/>
    <w:rsid w:val="00267372"/>
    <w:rsid w:val="0027691D"/>
    <w:rsid w:val="0028301F"/>
    <w:rsid w:val="002878E3"/>
    <w:rsid w:val="00290240"/>
    <w:rsid w:val="002A0188"/>
    <w:rsid w:val="002A265B"/>
    <w:rsid w:val="002A3149"/>
    <w:rsid w:val="002B2EA9"/>
    <w:rsid w:val="002B5E32"/>
    <w:rsid w:val="002E4F1B"/>
    <w:rsid w:val="0030463D"/>
    <w:rsid w:val="003122B1"/>
    <w:rsid w:val="00323F4D"/>
    <w:rsid w:val="0033008A"/>
    <w:rsid w:val="003316CE"/>
    <w:rsid w:val="00334BD6"/>
    <w:rsid w:val="00364C93"/>
    <w:rsid w:val="00382737"/>
    <w:rsid w:val="00383113"/>
    <w:rsid w:val="00384C94"/>
    <w:rsid w:val="003914EB"/>
    <w:rsid w:val="0039223C"/>
    <w:rsid w:val="003A1850"/>
    <w:rsid w:val="003B3358"/>
    <w:rsid w:val="003C3774"/>
    <w:rsid w:val="003C4C20"/>
    <w:rsid w:val="003C56EE"/>
    <w:rsid w:val="004007A4"/>
    <w:rsid w:val="00415DE4"/>
    <w:rsid w:val="004162C8"/>
    <w:rsid w:val="0042002B"/>
    <w:rsid w:val="00426EBF"/>
    <w:rsid w:val="00434E7C"/>
    <w:rsid w:val="00450C9E"/>
    <w:rsid w:val="004627B1"/>
    <w:rsid w:val="00471454"/>
    <w:rsid w:val="004756B4"/>
    <w:rsid w:val="004929B6"/>
    <w:rsid w:val="00493F0B"/>
    <w:rsid w:val="00497AD8"/>
    <w:rsid w:val="004A1484"/>
    <w:rsid w:val="004C1298"/>
    <w:rsid w:val="004D031D"/>
    <w:rsid w:val="004D3F7B"/>
    <w:rsid w:val="004D4C77"/>
    <w:rsid w:val="004D5333"/>
    <w:rsid w:val="004D546F"/>
    <w:rsid w:val="004D6822"/>
    <w:rsid w:val="004E060A"/>
    <w:rsid w:val="004E62BE"/>
    <w:rsid w:val="00516126"/>
    <w:rsid w:val="00522CDD"/>
    <w:rsid w:val="00524CF1"/>
    <w:rsid w:val="00525C9D"/>
    <w:rsid w:val="00527C0B"/>
    <w:rsid w:val="0053209F"/>
    <w:rsid w:val="005426A9"/>
    <w:rsid w:val="005437D2"/>
    <w:rsid w:val="0055237E"/>
    <w:rsid w:val="00562C7B"/>
    <w:rsid w:val="005947B8"/>
    <w:rsid w:val="00596A0E"/>
    <w:rsid w:val="005A0F68"/>
    <w:rsid w:val="005A53D2"/>
    <w:rsid w:val="005B0230"/>
    <w:rsid w:val="005C202A"/>
    <w:rsid w:val="005D4BB4"/>
    <w:rsid w:val="005E564F"/>
    <w:rsid w:val="005E6B85"/>
    <w:rsid w:val="0061004F"/>
    <w:rsid w:val="00611B1A"/>
    <w:rsid w:val="00611F23"/>
    <w:rsid w:val="00613C07"/>
    <w:rsid w:val="006144EE"/>
    <w:rsid w:val="00614D6F"/>
    <w:rsid w:val="006152E8"/>
    <w:rsid w:val="00622444"/>
    <w:rsid w:val="006366D5"/>
    <w:rsid w:val="00641F68"/>
    <w:rsid w:val="00646F87"/>
    <w:rsid w:val="0065255D"/>
    <w:rsid w:val="006555E6"/>
    <w:rsid w:val="006564DF"/>
    <w:rsid w:val="00677FEE"/>
    <w:rsid w:val="00680A35"/>
    <w:rsid w:val="00682F9C"/>
    <w:rsid w:val="00691B46"/>
    <w:rsid w:val="006C3675"/>
    <w:rsid w:val="006C3B5E"/>
    <w:rsid w:val="006C4846"/>
    <w:rsid w:val="006E23B9"/>
    <w:rsid w:val="006E2798"/>
    <w:rsid w:val="00700D77"/>
    <w:rsid w:val="00703128"/>
    <w:rsid w:val="007034F5"/>
    <w:rsid w:val="0070795F"/>
    <w:rsid w:val="0071618C"/>
    <w:rsid w:val="00717C33"/>
    <w:rsid w:val="00721F21"/>
    <w:rsid w:val="0072618B"/>
    <w:rsid w:val="00737C3B"/>
    <w:rsid w:val="00744465"/>
    <w:rsid w:val="00744C3A"/>
    <w:rsid w:val="00750F32"/>
    <w:rsid w:val="00755EFC"/>
    <w:rsid w:val="0075736F"/>
    <w:rsid w:val="00757E3F"/>
    <w:rsid w:val="00761683"/>
    <w:rsid w:val="00764084"/>
    <w:rsid w:val="0076420F"/>
    <w:rsid w:val="0077129E"/>
    <w:rsid w:val="00771453"/>
    <w:rsid w:val="00772D92"/>
    <w:rsid w:val="00775DF5"/>
    <w:rsid w:val="00797FE7"/>
    <w:rsid w:val="007A41A1"/>
    <w:rsid w:val="007A6401"/>
    <w:rsid w:val="007A688D"/>
    <w:rsid w:val="007C3E3E"/>
    <w:rsid w:val="007C4AA8"/>
    <w:rsid w:val="007C6925"/>
    <w:rsid w:val="007D1F26"/>
    <w:rsid w:val="007D568E"/>
    <w:rsid w:val="007E13E0"/>
    <w:rsid w:val="007E6763"/>
    <w:rsid w:val="007F56C4"/>
    <w:rsid w:val="00805768"/>
    <w:rsid w:val="00811BEF"/>
    <w:rsid w:val="008316D5"/>
    <w:rsid w:val="00836E65"/>
    <w:rsid w:val="008503CB"/>
    <w:rsid w:val="008509FB"/>
    <w:rsid w:val="0086246A"/>
    <w:rsid w:val="00867DC0"/>
    <w:rsid w:val="00872933"/>
    <w:rsid w:val="00874A9A"/>
    <w:rsid w:val="00890B9B"/>
    <w:rsid w:val="00896713"/>
    <w:rsid w:val="00896E05"/>
    <w:rsid w:val="0089765D"/>
    <w:rsid w:val="008A01AB"/>
    <w:rsid w:val="008A2A15"/>
    <w:rsid w:val="008A2F08"/>
    <w:rsid w:val="008C7504"/>
    <w:rsid w:val="008C7A90"/>
    <w:rsid w:val="008D4C8A"/>
    <w:rsid w:val="008D76D3"/>
    <w:rsid w:val="008E11E9"/>
    <w:rsid w:val="008E37EC"/>
    <w:rsid w:val="008F55E1"/>
    <w:rsid w:val="008F783D"/>
    <w:rsid w:val="00902ABD"/>
    <w:rsid w:val="00910101"/>
    <w:rsid w:val="00926A51"/>
    <w:rsid w:val="00941CDA"/>
    <w:rsid w:val="00943EDF"/>
    <w:rsid w:val="0095166B"/>
    <w:rsid w:val="00956537"/>
    <w:rsid w:val="00957CEE"/>
    <w:rsid w:val="009726B6"/>
    <w:rsid w:val="009733BF"/>
    <w:rsid w:val="009852A8"/>
    <w:rsid w:val="00987981"/>
    <w:rsid w:val="00990709"/>
    <w:rsid w:val="00994A91"/>
    <w:rsid w:val="009A1410"/>
    <w:rsid w:val="009B50B3"/>
    <w:rsid w:val="009B563C"/>
    <w:rsid w:val="009C457E"/>
    <w:rsid w:val="009C51A2"/>
    <w:rsid w:val="009D46F3"/>
    <w:rsid w:val="009E7C00"/>
    <w:rsid w:val="009F018B"/>
    <w:rsid w:val="009F0418"/>
    <w:rsid w:val="009F2CEA"/>
    <w:rsid w:val="00A115D4"/>
    <w:rsid w:val="00A320F8"/>
    <w:rsid w:val="00A5342E"/>
    <w:rsid w:val="00A67417"/>
    <w:rsid w:val="00A706FA"/>
    <w:rsid w:val="00A70D1D"/>
    <w:rsid w:val="00A739D2"/>
    <w:rsid w:val="00A757F8"/>
    <w:rsid w:val="00A75BCE"/>
    <w:rsid w:val="00A9129C"/>
    <w:rsid w:val="00AA2BD9"/>
    <w:rsid w:val="00AA6B20"/>
    <w:rsid w:val="00AC3381"/>
    <w:rsid w:val="00AD3B80"/>
    <w:rsid w:val="00AE0E34"/>
    <w:rsid w:val="00AE1D4C"/>
    <w:rsid w:val="00AF6240"/>
    <w:rsid w:val="00B00778"/>
    <w:rsid w:val="00B13C62"/>
    <w:rsid w:val="00B14371"/>
    <w:rsid w:val="00B2330C"/>
    <w:rsid w:val="00B2375F"/>
    <w:rsid w:val="00B3051C"/>
    <w:rsid w:val="00B368A9"/>
    <w:rsid w:val="00B374F3"/>
    <w:rsid w:val="00B3758E"/>
    <w:rsid w:val="00B40C5D"/>
    <w:rsid w:val="00B42A15"/>
    <w:rsid w:val="00B46023"/>
    <w:rsid w:val="00B47E5A"/>
    <w:rsid w:val="00B54E57"/>
    <w:rsid w:val="00B753B5"/>
    <w:rsid w:val="00B86B9C"/>
    <w:rsid w:val="00BA4B9C"/>
    <w:rsid w:val="00BA52F7"/>
    <w:rsid w:val="00BB2C45"/>
    <w:rsid w:val="00BD25BE"/>
    <w:rsid w:val="00BD44A1"/>
    <w:rsid w:val="00C0163D"/>
    <w:rsid w:val="00C02562"/>
    <w:rsid w:val="00C03E6C"/>
    <w:rsid w:val="00C164A5"/>
    <w:rsid w:val="00C20041"/>
    <w:rsid w:val="00C20BEB"/>
    <w:rsid w:val="00C2416E"/>
    <w:rsid w:val="00C35198"/>
    <w:rsid w:val="00C43925"/>
    <w:rsid w:val="00C44AB0"/>
    <w:rsid w:val="00C5367C"/>
    <w:rsid w:val="00C554EB"/>
    <w:rsid w:val="00C568B0"/>
    <w:rsid w:val="00C60482"/>
    <w:rsid w:val="00C62A5D"/>
    <w:rsid w:val="00C901A5"/>
    <w:rsid w:val="00C903BC"/>
    <w:rsid w:val="00C912A5"/>
    <w:rsid w:val="00CA6100"/>
    <w:rsid w:val="00CB3884"/>
    <w:rsid w:val="00CC272F"/>
    <w:rsid w:val="00CD0F59"/>
    <w:rsid w:val="00CD5D30"/>
    <w:rsid w:val="00CD6F5D"/>
    <w:rsid w:val="00CD719F"/>
    <w:rsid w:val="00CE03FC"/>
    <w:rsid w:val="00CE1872"/>
    <w:rsid w:val="00CE39F1"/>
    <w:rsid w:val="00CE7BFE"/>
    <w:rsid w:val="00CF170C"/>
    <w:rsid w:val="00CF4971"/>
    <w:rsid w:val="00CF512A"/>
    <w:rsid w:val="00D051D8"/>
    <w:rsid w:val="00D22A77"/>
    <w:rsid w:val="00D23F02"/>
    <w:rsid w:val="00D403F9"/>
    <w:rsid w:val="00D405EE"/>
    <w:rsid w:val="00D4165B"/>
    <w:rsid w:val="00D44FF2"/>
    <w:rsid w:val="00D56644"/>
    <w:rsid w:val="00D633FD"/>
    <w:rsid w:val="00D722B5"/>
    <w:rsid w:val="00D92B7E"/>
    <w:rsid w:val="00DA1146"/>
    <w:rsid w:val="00DA369F"/>
    <w:rsid w:val="00DA4A28"/>
    <w:rsid w:val="00DA5082"/>
    <w:rsid w:val="00DB0D17"/>
    <w:rsid w:val="00DB44A5"/>
    <w:rsid w:val="00DC1B46"/>
    <w:rsid w:val="00DC35DA"/>
    <w:rsid w:val="00DC380F"/>
    <w:rsid w:val="00DD474F"/>
    <w:rsid w:val="00DE3802"/>
    <w:rsid w:val="00DE51D1"/>
    <w:rsid w:val="00DF7AD0"/>
    <w:rsid w:val="00E22473"/>
    <w:rsid w:val="00E3190D"/>
    <w:rsid w:val="00E31AC6"/>
    <w:rsid w:val="00E32662"/>
    <w:rsid w:val="00E33672"/>
    <w:rsid w:val="00E44570"/>
    <w:rsid w:val="00E4524E"/>
    <w:rsid w:val="00E460BE"/>
    <w:rsid w:val="00E46EA9"/>
    <w:rsid w:val="00E47DF9"/>
    <w:rsid w:val="00E51A54"/>
    <w:rsid w:val="00E64BAF"/>
    <w:rsid w:val="00E67B04"/>
    <w:rsid w:val="00E97570"/>
    <w:rsid w:val="00EA57EC"/>
    <w:rsid w:val="00EC0ADE"/>
    <w:rsid w:val="00ED6DBE"/>
    <w:rsid w:val="00EE4D42"/>
    <w:rsid w:val="00EE6E06"/>
    <w:rsid w:val="00EE7FA0"/>
    <w:rsid w:val="00EF45A9"/>
    <w:rsid w:val="00EF5B1B"/>
    <w:rsid w:val="00F1027F"/>
    <w:rsid w:val="00F145C1"/>
    <w:rsid w:val="00F34899"/>
    <w:rsid w:val="00F437D1"/>
    <w:rsid w:val="00F43D54"/>
    <w:rsid w:val="00F63268"/>
    <w:rsid w:val="00F65CAC"/>
    <w:rsid w:val="00F725B2"/>
    <w:rsid w:val="00F756FD"/>
    <w:rsid w:val="00F94CDA"/>
    <w:rsid w:val="00FA686B"/>
    <w:rsid w:val="00FB0286"/>
    <w:rsid w:val="00FB1033"/>
    <w:rsid w:val="00FB4A24"/>
    <w:rsid w:val="00FB57E4"/>
    <w:rsid w:val="00FC0E1A"/>
    <w:rsid w:val="00FC2200"/>
    <w:rsid w:val="00FD2202"/>
    <w:rsid w:val="00FF2A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0F29892-A30C-4531-9E2B-358EBDC0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26"/>
    <w:rPr>
      <w:rFonts w:ascii="Arial" w:hAnsi="Arial"/>
      <w:sz w:val="22"/>
      <w:lang w:eastAsia="en-US"/>
    </w:rPr>
  </w:style>
  <w:style w:type="paragraph" w:styleId="Heading7">
    <w:name w:val="heading 7"/>
    <w:basedOn w:val="Normal"/>
    <w:next w:val="Normal"/>
    <w:link w:val="Heading7Char"/>
    <w:uiPriority w:val="9"/>
    <w:semiHidden/>
    <w:unhideWhenUsed/>
    <w:qFormat/>
    <w:rsid w:val="007D1F2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819"/>
        <w:tab w:val="right" w:pos="9071"/>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7D1F26"/>
    <w:pPr>
      <w:ind w:left="720"/>
      <w:contextualSpacing/>
    </w:pPr>
  </w:style>
  <w:style w:type="paragraph" w:customStyle="1" w:styleId="ReportTitle">
    <w:name w:val="Report Title"/>
    <w:basedOn w:val="Heading7"/>
    <w:uiPriority w:val="99"/>
    <w:rsid w:val="007D1F26"/>
    <w:pPr>
      <w:keepLines w:val="0"/>
      <w:overflowPunct w:val="0"/>
      <w:autoSpaceDE w:val="0"/>
      <w:autoSpaceDN w:val="0"/>
      <w:adjustRightInd w:val="0"/>
      <w:spacing w:before="0"/>
      <w:jc w:val="center"/>
    </w:pPr>
    <w:rPr>
      <w:rFonts w:ascii="Arial" w:eastAsia="Times New Roman" w:hAnsi="Arial" w:cs="Times New Roman"/>
      <w:i w:val="0"/>
      <w:iCs w:val="0"/>
      <w:color w:val="auto"/>
      <w:sz w:val="32"/>
      <w:lang w:val="en-GB"/>
    </w:rPr>
  </w:style>
  <w:style w:type="character" w:customStyle="1" w:styleId="Heading7Char">
    <w:name w:val="Heading 7 Char"/>
    <w:basedOn w:val="DefaultParagraphFont"/>
    <w:link w:val="Heading7"/>
    <w:uiPriority w:val="9"/>
    <w:semiHidden/>
    <w:rsid w:val="007D1F26"/>
    <w:rPr>
      <w:rFonts w:asciiTheme="majorHAnsi" w:eastAsiaTheme="majorEastAsia" w:hAnsiTheme="majorHAnsi" w:cstheme="majorBidi"/>
      <w:i/>
      <w:iCs/>
      <w:color w:val="1F4D78" w:themeColor="accent1" w:themeShade="7F"/>
      <w:sz w:val="22"/>
      <w:lang w:eastAsia="en-US"/>
    </w:rPr>
  </w:style>
  <w:style w:type="paragraph" w:styleId="BalloonText">
    <w:name w:val="Balloon Text"/>
    <w:basedOn w:val="Normal"/>
    <w:link w:val="BalloonTextChar"/>
    <w:uiPriority w:val="99"/>
    <w:semiHidden/>
    <w:unhideWhenUsed/>
    <w:rsid w:val="004D3F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7B"/>
    <w:rPr>
      <w:rFonts w:ascii="Segoe UI" w:hAnsi="Segoe UI" w:cs="Segoe UI"/>
      <w:sz w:val="18"/>
      <w:szCs w:val="18"/>
      <w:lang w:eastAsia="en-US"/>
    </w:rPr>
  </w:style>
  <w:style w:type="paragraph" w:styleId="BodyText">
    <w:name w:val="Body Text"/>
    <w:aliases w:val="Board - Body Text"/>
    <w:basedOn w:val="Normal"/>
    <w:link w:val="BodyTextChar"/>
    <w:rsid w:val="00FB0286"/>
    <w:pPr>
      <w:jc w:val="both"/>
    </w:pPr>
    <w:rPr>
      <w:rFonts w:cs="Arial"/>
    </w:rPr>
  </w:style>
  <w:style w:type="character" w:customStyle="1" w:styleId="BodyTextChar">
    <w:name w:val="Body Text Char"/>
    <w:aliases w:val="Board - Body Text Char"/>
    <w:basedOn w:val="DefaultParagraphFont"/>
    <w:link w:val="BodyText"/>
    <w:rsid w:val="00FB0286"/>
    <w:rPr>
      <w:rFonts w:ascii="Arial" w:hAnsi="Arial" w:cs="Arial"/>
      <w:sz w:val="22"/>
      <w:lang w:eastAsia="en-US"/>
    </w:rPr>
  </w:style>
  <w:style w:type="paragraph" w:customStyle="1" w:styleId="SubHeading">
    <w:name w:val="SubHeading"/>
    <w:basedOn w:val="BodyText"/>
    <w:rsid w:val="00FB0286"/>
    <w:rPr>
      <w:b/>
      <w:bCs/>
      <w:i/>
      <w:iCs/>
    </w:rPr>
  </w:style>
  <w:style w:type="table" w:styleId="TableGrid">
    <w:name w:val="Table Grid"/>
    <w:basedOn w:val="TableNormal"/>
    <w:uiPriority w:val="39"/>
    <w:rsid w:val="00BA4B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B388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47F89"/>
    <w:rPr>
      <w:sz w:val="16"/>
      <w:szCs w:val="16"/>
    </w:rPr>
  </w:style>
  <w:style w:type="paragraph" w:styleId="CommentText">
    <w:name w:val="annotation text"/>
    <w:basedOn w:val="Normal"/>
    <w:link w:val="CommentTextChar"/>
    <w:uiPriority w:val="99"/>
    <w:semiHidden/>
    <w:unhideWhenUsed/>
    <w:rsid w:val="00047F89"/>
    <w:rPr>
      <w:sz w:val="20"/>
    </w:rPr>
  </w:style>
  <w:style w:type="character" w:customStyle="1" w:styleId="CommentTextChar">
    <w:name w:val="Comment Text Char"/>
    <w:basedOn w:val="DefaultParagraphFont"/>
    <w:link w:val="CommentText"/>
    <w:uiPriority w:val="99"/>
    <w:semiHidden/>
    <w:rsid w:val="00047F8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47F89"/>
    <w:rPr>
      <w:b/>
      <w:bCs/>
    </w:rPr>
  </w:style>
  <w:style w:type="character" w:customStyle="1" w:styleId="CommentSubjectChar">
    <w:name w:val="Comment Subject Char"/>
    <w:basedOn w:val="CommentTextChar"/>
    <w:link w:val="CommentSubject"/>
    <w:uiPriority w:val="99"/>
    <w:semiHidden/>
    <w:rsid w:val="00047F89"/>
    <w:rPr>
      <w:rFonts w:ascii="Arial" w:hAnsi="Arial"/>
      <w:b/>
      <w:bCs/>
      <w:lang w:eastAsia="en-US"/>
    </w:rPr>
  </w:style>
  <w:style w:type="paragraph" w:styleId="NormalWeb">
    <w:name w:val="Normal (Web)"/>
    <w:basedOn w:val="Normal"/>
    <w:uiPriority w:val="99"/>
    <w:semiHidden/>
    <w:unhideWhenUsed/>
    <w:rsid w:val="003914EB"/>
    <w:pPr>
      <w:spacing w:after="180"/>
    </w:pPr>
    <w:rPr>
      <w:rFonts w:ascii="Times New Roman" w:hAnsi="Times New Roman"/>
      <w:sz w:val="24"/>
      <w:szCs w:val="24"/>
      <w:lang w:eastAsia="en-NZ"/>
    </w:rPr>
  </w:style>
  <w:style w:type="character" w:customStyle="1" w:styleId="FooterChar">
    <w:name w:val="Footer Char"/>
    <w:basedOn w:val="DefaultParagraphFont"/>
    <w:link w:val="Footer"/>
    <w:semiHidden/>
    <w:rsid w:val="00641F6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48292">
      <w:bodyDiv w:val="1"/>
      <w:marLeft w:val="0"/>
      <w:marRight w:val="0"/>
      <w:marTop w:val="0"/>
      <w:marBottom w:val="0"/>
      <w:divBdr>
        <w:top w:val="none" w:sz="0" w:space="0" w:color="auto"/>
        <w:left w:val="none" w:sz="0" w:space="0" w:color="auto"/>
        <w:bottom w:val="none" w:sz="0" w:space="0" w:color="auto"/>
        <w:right w:val="none" w:sz="0" w:space="0" w:color="auto"/>
      </w:divBdr>
    </w:div>
    <w:div w:id="833490352">
      <w:bodyDiv w:val="1"/>
      <w:marLeft w:val="0"/>
      <w:marRight w:val="0"/>
      <w:marTop w:val="0"/>
      <w:marBottom w:val="0"/>
      <w:divBdr>
        <w:top w:val="none" w:sz="0" w:space="0" w:color="auto"/>
        <w:left w:val="none" w:sz="0" w:space="0" w:color="auto"/>
        <w:bottom w:val="none" w:sz="0" w:space="0" w:color="auto"/>
        <w:right w:val="none" w:sz="0" w:space="0" w:color="auto"/>
      </w:divBdr>
      <w:divsChild>
        <w:div w:id="1855730980">
          <w:marLeft w:val="0"/>
          <w:marRight w:val="0"/>
          <w:marTop w:val="0"/>
          <w:marBottom w:val="0"/>
          <w:divBdr>
            <w:top w:val="none" w:sz="0" w:space="0" w:color="auto"/>
            <w:left w:val="none" w:sz="0" w:space="0" w:color="auto"/>
            <w:bottom w:val="none" w:sz="0" w:space="0" w:color="auto"/>
            <w:right w:val="none" w:sz="0" w:space="0" w:color="auto"/>
          </w:divBdr>
        </w:div>
      </w:divsChild>
    </w:div>
    <w:div w:id="985890486">
      <w:bodyDiv w:val="1"/>
      <w:marLeft w:val="0"/>
      <w:marRight w:val="0"/>
      <w:marTop w:val="0"/>
      <w:marBottom w:val="0"/>
      <w:divBdr>
        <w:top w:val="none" w:sz="0" w:space="0" w:color="auto"/>
        <w:left w:val="none" w:sz="0" w:space="0" w:color="auto"/>
        <w:bottom w:val="none" w:sz="0" w:space="0" w:color="auto"/>
        <w:right w:val="none" w:sz="0" w:space="0" w:color="auto"/>
      </w:divBdr>
    </w:div>
    <w:div w:id="1018965559">
      <w:bodyDiv w:val="1"/>
      <w:marLeft w:val="0"/>
      <w:marRight w:val="0"/>
      <w:marTop w:val="0"/>
      <w:marBottom w:val="0"/>
      <w:divBdr>
        <w:top w:val="none" w:sz="0" w:space="0" w:color="auto"/>
        <w:left w:val="none" w:sz="0" w:space="0" w:color="auto"/>
        <w:bottom w:val="none" w:sz="0" w:space="0" w:color="auto"/>
        <w:right w:val="none" w:sz="0" w:space="0" w:color="auto"/>
      </w:divBdr>
    </w:div>
    <w:div w:id="1220047721">
      <w:bodyDiv w:val="1"/>
      <w:marLeft w:val="0"/>
      <w:marRight w:val="0"/>
      <w:marTop w:val="0"/>
      <w:marBottom w:val="0"/>
      <w:divBdr>
        <w:top w:val="none" w:sz="0" w:space="0" w:color="auto"/>
        <w:left w:val="none" w:sz="0" w:space="0" w:color="auto"/>
        <w:bottom w:val="none" w:sz="0" w:space="0" w:color="auto"/>
        <w:right w:val="none" w:sz="0" w:space="0" w:color="auto"/>
      </w:divBdr>
    </w:div>
    <w:div w:id="1446341754">
      <w:bodyDiv w:val="1"/>
      <w:marLeft w:val="0"/>
      <w:marRight w:val="0"/>
      <w:marTop w:val="0"/>
      <w:marBottom w:val="0"/>
      <w:divBdr>
        <w:top w:val="none" w:sz="0" w:space="0" w:color="auto"/>
        <w:left w:val="none" w:sz="0" w:space="0" w:color="auto"/>
        <w:bottom w:val="none" w:sz="0" w:space="0" w:color="auto"/>
        <w:right w:val="none" w:sz="0" w:space="0" w:color="auto"/>
      </w:divBdr>
    </w:div>
    <w:div w:id="16169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5FF53DDE.dotm</Template>
  <TotalTime>0</TotalTime>
  <Pages>6</Pages>
  <Words>1934</Words>
  <Characters>10222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12132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Brenda Crene</dc:creator>
  <cp:keywords/>
  <dc:description/>
  <cp:lastModifiedBy>Chris Lord</cp:lastModifiedBy>
  <cp:revision>2</cp:revision>
  <cp:lastPrinted>2015-05-19T03:46:00Z</cp:lastPrinted>
  <dcterms:created xsi:type="dcterms:W3CDTF">2016-05-18T00:27:00Z</dcterms:created>
  <dcterms:modified xsi:type="dcterms:W3CDTF">2016-05-18T00:27:00Z</dcterms:modified>
</cp:coreProperties>
</file>